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98293" w14:textId="69B76899" w:rsidR="004F77C9" w:rsidRPr="004C56CA" w:rsidRDefault="004F77C9" w:rsidP="0079472E">
      <w:pPr>
        <w:pStyle w:val="a3"/>
        <w:tabs>
          <w:tab w:val="right" w:pos="9639"/>
        </w:tabs>
        <w:rPr>
          <w:rFonts w:eastAsia="MS Mincho"/>
          <w:noProof w:val="0"/>
          <w:sz w:val="24"/>
          <w:szCs w:val="24"/>
          <w:lang w:val="en-GB" w:eastAsia="en-GB"/>
        </w:rPr>
      </w:pPr>
      <w:bookmarkStart w:id="0" w:name="_Hlk205558351"/>
      <w:r w:rsidRPr="004C56CA">
        <w:rPr>
          <w:rFonts w:eastAsia="MS Mincho"/>
          <w:noProof w:val="0"/>
          <w:sz w:val="24"/>
          <w:szCs w:val="24"/>
          <w:lang w:val="en-GB" w:eastAsia="en-GB"/>
        </w:rPr>
        <w:t>3GPP TSG-RAN WG2 Meeting #131</w:t>
      </w:r>
      <w:r w:rsidRPr="004C56CA">
        <w:rPr>
          <w:rFonts w:eastAsia="MS Mincho"/>
          <w:noProof w:val="0"/>
          <w:sz w:val="24"/>
          <w:szCs w:val="24"/>
          <w:lang w:val="en-GB" w:eastAsia="en-GB"/>
        </w:rPr>
        <w:tab/>
      </w:r>
      <w:r w:rsidR="000C7CA3" w:rsidRPr="000C7CA3">
        <w:rPr>
          <w:rFonts w:eastAsia="MS Mincho"/>
          <w:noProof w:val="0"/>
          <w:sz w:val="24"/>
          <w:szCs w:val="24"/>
          <w:lang w:val="en-GB" w:eastAsia="en-GB"/>
        </w:rPr>
        <w:t>R2-2505690</w:t>
      </w:r>
    </w:p>
    <w:p w14:paraId="77091E93" w14:textId="06733E89" w:rsidR="00F208B1" w:rsidRPr="00445B3A" w:rsidRDefault="004F77C9" w:rsidP="004F77C9">
      <w:pPr>
        <w:pStyle w:val="a3"/>
        <w:tabs>
          <w:tab w:val="right" w:pos="9639"/>
        </w:tabs>
        <w:jc w:val="both"/>
        <w:rPr>
          <w:rFonts w:eastAsiaTheme="minorEastAsia" w:cs="Arial"/>
          <w:b w:val="0"/>
          <w:bCs/>
          <w:i/>
          <w:iCs/>
          <w:sz w:val="24"/>
          <w:lang w:eastAsia="zh-CN"/>
        </w:rPr>
      </w:pPr>
      <w:r w:rsidRPr="004C56CA">
        <w:rPr>
          <w:rFonts w:eastAsia="MS Mincho"/>
          <w:noProof w:val="0"/>
          <w:sz w:val="24"/>
          <w:szCs w:val="24"/>
          <w:lang w:val="en-GB" w:eastAsia="en-GB"/>
        </w:rPr>
        <w:t>Bangalore, India</w:t>
      </w:r>
      <w:r>
        <w:rPr>
          <w:rFonts w:eastAsiaTheme="minorEastAsia" w:hint="eastAsia"/>
          <w:noProof w:val="0"/>
          <w:sz w:val="24"/>
          <w:szCs w:val="24"/>
          <w:lang w:val="en-GB" w:eastAsia="zh-CN"/>
        </w:rPr>
        <w:t xml:space="preserve">, </w:t>
      </w:r>
      <w:r w:rsidRPr="004C56CA">
        <w:rPr>
          <w:rFonts w:eastAsia="MS Mincho"/>
          <w:noProof w:val="0"/>
          <w:sz w:val="24"/>
          <w:szCs w:val="24"/>
          <w:lang w:val="en-GB" w:eastAsia="en-GB"/>
        </w:rPr>
        <w:t>Aug 25</w:t>
      </w:r>
      <w:r w:rsidRPr="004C56CA">
        <w:rPr>
          <w:rFonts w:eastAsia="MS Mincho"/>
          <w:noProof w:val="0"/>
          <w:sz w:val="24"/>
          <w:szCs w:val="24"/>
          <w:vertAlign w:val="superscript"/>
          <w:lang w:val="en-GB" w:eastAsia="en-GB"/>
        </w:rPr>
        <w:t>th</w:t>
      </w:r>
      <w:r w:rsidRPr="004C56CA">
        <w:rPr>
          <w:rFonts w:eastAsia="MS Mincho"/>
          <w:noProof w:val="0"/>
          <w:sz w:val="24"/>
          <w:szCs w:val="24"/>
          <w:lang w:val="en-GB" w:eastAsia="en-GB"/>
        </w:rPr>
        <w:t xml:space="preserve"> – 29</w:t>
      </w:r>
      <w:r w:rsidRPr="004C56CA">
        <w:rPr>
          <w:rFonts w:eastAsia="MS Mincho"/>
          <w:noProof w:val="0"/>
          <w:sz w:val="24"/>
          <w:szCs w:val="24"/>
          <w:vertAlign w:val="superscript"/>
          <w:lang w:val="en-GB" w:eastAsia="en-GB"/>
        </w:rPr>
        <w:t>th</w:t>
      </w:r>
      <w:r w:rsidRPr="004C56CA">
        <w:rPr>
          <w:rFonts w:eastAsia="MS Mincho"/>
          <w:noProof w:val="0"/>
          <w:sz w:val="24"/>
          <w:szCs w:val="24"/>
          <w:lang w:val="en-GB" w:eastAsia="en-GB"/>
        </w:rPr>
        <w:t>, 2025</w:t>
      </w:r>
      <w:bookmarkEnd w:id="0"/>
    </w:p>
    <w:p w14:paraId="1A10DE58" w14:textId="77777777" w:rsidR="00186BCD" w:rsidRPr="00F208B1"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71DDFBDB"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C01F4">
        <w:rPr>
          <w:rFonts w:eastAsia="宋体" w:cs="Arial"/>
          <w:b/>
          <w:bCs/>
          <w:kern w:val="2"/>
          <w:sz w:val="24"/>
          <w:szCs w:val="22"/>
          <w:lang w:val="en-US" w:eastAsia="zh-CN"/>
        </w:rPr>
        <w:t>8.</w:t>
      </w:r>
      <w:r w:rsidR="00BD7035">
        <w:rPr>
          <w:rFonts w:eastAsia="宋体" w:cs="Arial"/>
          <w:b/>
          <w:bCs/>
          <w:kern w:val="2"/>
          <w:sz w:val="24"/>
          <w:szCs w:val="22"/>
          <w:lang w:val="en-US" w:eastAsia="zh-CN"/>
        </w:rPr>
        <w:t>9</w:t>
      </w:r>
      <w:r w:rsidR="000C01F4">
        <w:rPr>
          <w:rFonts w:eastAsia="宋体" w:cs="Arial"/>
          <w:b/>
          <w:bCs/>
          <w:kern w:val="2"/>
          <w:sz w:val="24"/>
          <w:szCs w:val="22"/>
          <w:lang w:val="en-US" w:eastAsia="zh-CN"/>
        </w:rPr>
        <w:t>.</w:t>
      </w:r>
      <w:r w:rsidR="00BD7035">
        <w:rPr>
          <w:rFonts w:eastAsia="宋体" w:cs="Arial"/>
          <w:b/>
          <w:bCs/>
          <w:kern w:val="2"/>
          <w:sz w:val="24"/>
          <w:szCs w:val="22"/>
          <w:lang w:val="en-US" w:eastAsia="zh-CN"/>
        </w:rPr>
        <w:t>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1" w:name="OLE_LINK1"/>
      <w:bookmarkStart w:id="2" w:name="OLE_LINK2"/>
      <w:bookmarkStart w:id="3" w:name="OLE_LINK3"/>
      <w:bookmarkStart w:id="4" w:name="OLE_LINK36"/>
      <w:r w:rsidR="00ED2EFD">
        <w:rPr>
          <w:rFonts w:ascii="Arial" w:hAnsi="Arial" w:cs="Arial" w:hint="eastAsia"/>
          <w:b/>
          <w:bCs/>
          <w:sz w:val="24"/>
        </w:rPr>
        <w:t>Lenovo</w:t>
      </w:r>
      <w:bookmarkEnd w:id="1"/>
      <w:bookmarkEnd w:id="2"/>
      <w:bookmarkEnd w:id="3"/>
      <w:bookmarkEnd w:id="4"/>
    </w:p>
    <w:p w14:paraId="792C96E5" w14:textId="45895A34"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79472E" w:rsidRPr="0079472E">
        <w:rPr>
          <w:rFonts w:ascii="Arial" w:hAnsi="Arial" w:cs="Arial"/>
          <w:b/>
          <w:bCs/>
          <w:sz w:val="24"/>
        </w:rPr>
        <w:t>Some remaining issues for S&amp;F operation mode and transition time</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1639D8B" w14:textId="24D75513" w:rsidR="003D3635" w:rsidRDefault="003D3635" w:rsidP="00357D5B">
      <w:pPr>
        <w:spacing w:beforeLines="50" w:before="156" w:afterLines="50" w:after="156"/>
        <w:rPr>
          <w:rFonts w:ascii="Times New Roman" w:hAnsi="Times New Roman"/>
          <w:sz w:val="22"/>
        </w:rPr>
      </w:pPr>
      <w:r>
        <w:rPr>
          <w:rFonts w:ascii="Times New Roman" w:hAnsi="Times New Roman" w:hint="eastAsia"/>
          <w:sz w:val="22"/>
        </w:rPr>
        <w:t>T</w:t>
      </w:r>
      <w:r>
        <w:rPr>
          <w:rFonts w:ascii="Times New Roman" w:hAnsi="Times New Roman"/>
          <w:sz w:val="22"/>
        </w:rPr>
        <w:t>he latest RAN2</w:t>
      </w:r>
      <w:r w:rsidR="00984909">
        <w:rPr>
          <w:rFonts w:ascii="Times New Roman" w:hAnsi="Times New Roman" w:hint="eastAsia"/>
          <w:sz w:val="22"/>
        </w:rPr>
        <w:t>#130</w:t>
      </w:r>
      <w:r>
        <w:rPr>
          <w:rFonts w:ascii="Times New Roman" w:hAnsi="Times New Roman"/>
          <w:sz w:val="22"/>
        </w:rPr>
        <w:t xml:space="preserve"> meeting made the following agreements regarding </w:t>
      </w:r>
      <w:r>
        <w:rPr>
          <w:rFonts w:ascii="Times New Roman" w:hAnsi="Times New Roman" w:hint="eastAsia"/>
          <w:sz w:val="22"/>
        </w:rPr>
        <w:t>Store</w:t>
      </w:r>
      <w:r>
        <w:rPr>
          <w:rFonts w:ascii="Times New Roman" w:hAnsi="Times New Roman"/>
          <w:sz w:val="22"/>
        </w:rPr>
        <w:t xml:space="preserve"> and Forward (S&amp;F)</w:t>
      </w:r>
      <w:r w:rsidRPr="004967E2">
        <w:rPr>
          <w:rFonts w:ascii="Times New Roman" w:hAnsi="Times New Roman"/>
          <w:sz w:val="22"/>
        </w:rPr>
        <w:t xml:space="preserve"> operation</w:t>
      </w:r>
      <w:r>
        <w:rPr>
          <w:rFonts w:ascii="Times New Roman" w:hAnsi="Times New Roman"/>
          <w:sz w:val="22"/>
        </w:rPr>
        <w:t>s in IoT NTN:</w:t>
      </w:r>
    </w:p>
    <w:tbl>
      <w:tblPr>
        <w:tblStyle w:val="af1"/>
        <w:tblW w:w="0" w:type="auto"/>
        <w:tblLook w:val="04A0" w:firstRow="1" w:lastRow="0" w:firstColumn="1" w:lastColumn="0" w:noHBand="0" w:noVBand="1"/>
      </w:tblPr>
      <w:tblGrid>
        <w:gridCol w:w="9629"/>
      </w:tblGrid>
      <w:tr w:rsidR="003D3635" w14:paraId="759B1637" w14:textId="77777777" w:rsidTr="003D3635">
        <w:tc>
          <w:tcPr>
            <w:tcW w:w="9629" w:type="dxa"/>
          </w:tcPr>
          <w:p w14:paraId="370F7A1B" w14:textId="5244441B" w:rsidR="00B17F7F" w:rsidRPr="00B17F7F" w:rsidRDefault="00B17F7F" w:rsidP="00E3507B">
            <w:pPr>
              <w:rPr>
                <w:rFonts w:ascii="Times New Roman" w:hAnsi="Times New Roman"/>
                <w:b/>
                <w:bCs/>
                <w:sz w:val="22"/>
              </w:rPr>
            </w:pPr>
            <w:r w:rsidRPr="00B17F7F">
              <w:rPr>
                <w:rFonts w:ascii="Times New Roman" w:hAnsi="Times New Roman"/>
                <w:b/>
                <w:bCs/>
                <w:sz w:val="22"/>
              </w:rPr>
              <w:t>RAN2#</w:t>
            </w:r>
            <w:r w:rsidRPr="00B17F7F">
              <w:rPr>
                <w:rFonts w:ascii="Times New Roman" w:hAnsi="Times New Roman" w:hint="eastAsia"/>
                <w:b/>
                <w:bCs/>
                <w:sz w:val="22"/>
              </w:rPr>
              <w:t xml:space="preserve">130 </w:t>
            </w:r>
            <w:r w:rsidRPr="00B17F7F">
              <w:rPr>
                <w:rFonts w:ascii="Times New Roman" w:hAnsi="Times New Roman"/>
                <w:b/>
                <w:bCs/>
                <w:sz w:val="22"/>
              </w:rPr>
              <w:t>Agreements</w:t>
            </w:r>
          </w:p>
          <w:p w14:paraId="67CC3EC4" w14:textId="0131F3F5" w:rsidR="00B17F7F" w:rsidRPr="00B17F7F" w:rsidRDefault="00B17F7F" w:rsidP="00E3507B">
            <w:pPr>
              <w:pStyle w:val="a6"/>
              <w:numPr>
                <w:ilvl w:val="0"/>
                <w:numId w:val="55"/>
              </w:numPr>
              <w:spacing w:after="0"/>
              <w:ind w:firstLineChars="0"/>
              <w:jc w:val="both"/>
              <w:rPr>
                <w:sz w:val="22"/>
              </w:rPr>
            </w:pPr>
            <w:r w:rsidRPr="00B17F7F">
              <w:rPr>
                <w:sz w:val="22"/>
              </w:rPr>
              <w:t xml:space="preserve">When the S&amp;F operation indication is present, the agreed time information in SIB31 (i.e., </w:t>
            </w:r>
            <w:r w:rsidRPr="00984909">
              <w:rPr>
                <w:i/>
                <w:iCs/>
                <w:sz w:val="22"/>
              </w:rPr>
              <w:t>t-ModeSwitching</w:t>
            </w:r>
            <w:r w:rsidRPr="00B17F7F">
              <w:rPr>
                <w:sz w:val="22"/>
              </w:rPr>
              <w:t xml:space="preserve">) indicates when the normal mode will start; otherwise, the agreed time information in SIB31 (i.e., </w:t>
            </w:r>
            <w:r w:rsidRPr="00984909">
              <w:rPr>
                <w:i/>
                <w:iCs/>
                <w:sz w:val="22"/>
              </w:rPr>
              <w:t>t-ModeSwitching</w:t>
            </w:r>
            <w:r w:rsidRPr="00B17F7F">
              <w:rPr>
                <w:sz w:val="22"/>
              </w:rPr>
              <w:t>) indicates when the S&amp;F mode will start.</w:t>
            </w:r>
          </w:p>
          <w:p w14:paraId="2190CE54" w14:textId="4544B69C" w:rsidR="00B17F7F" w:rsidRPr="00B17F7F" w:rsidRDefault="00B17F7F" w:rsidP="00E3507B">
            <w:pPr>
              <w:pStyle w:val="a6"/>
              <w:numPr>
                <w:ilvl w:val="0"/>
                <w:numId w:val="55"/>
              </w:numPr>
              <w:spacing w:after="0"/>
              <w:ind w:firstLineChars="0"/>
              <w:jc w:val="both"/>
              <w:rPr>
                <w:sz w:val="22"/>
              </w:rPr>
            </w:pPr>
            <w:r w:rsidRPr="00B17F7F">
              <w:rPr>
                <w:sz w:val="22"/>
              </w:rPr>
              <w:t xml:space="preserve">In a S&amp;F network deployment which also exhibits discontinuous coverage, existing mechanisms to handle discontinuous coverage can be leveraged (e.g. satellite assistance information, UE not needing to perform idle mode tasks when the UE determines that is out of coverage, etc.). There is no need to modify existing discontinuous coverage features due to the addition of S&amp;F Satellite operation. FFS if we clarify in discontinuous coverage procedure in idle mode that the UE also </w:t>
            </w:r>
            <w:proofErr w:type="gramStart"/>
            <w:r w:rsidRPr="00B17F7F">
              <w:rPr>
                <w:sz w:val="22"/>
              </w:rPr>
              <w:t>takes into account</w:t>
            </w:r>
            <w:proofErr w:type="gramEnd"/>
            <w:r w:rsidRPr="00B17F7F">
              <w:rPr>
                <w:sz w:val="22"/>
              </w:rPr>
              <w:t xml:space="preserve"> the information about NAS configured S&amp;F monitoring list.</w:t>
            </w:r>
          </w:p>
          <w:p w14:paraId="4B484049" w14:textId="3DC79691" w:rsidR="00B17F7F" w:rsidRPr="00B17F7F" w:rsidRDefault="00B17F7F" w:rsidP="00E3507B">
            <w:pPr>
              <w:pStyle w:val="a6"/>
              <w:numPr>
                <w:ilvl w:val="0"/>
                <w:numId w:val="55"/>
              </w:numPr>
              <w:spacing w:after="0"/>
              <w:ind w:firstLineChars="0"/>
              <w:jc w:val="both"/>
              <w:rPr>
                <w:sz w:val="22"/>
              </w:rPr>
            </w:pPr>
            <w:r w:rsidRPr="00B17F7F">
              <w:rPr>
                <w:sz w:val="22"/>
              </w:rPr>
              <w:t>Clarify in Stage 2 from Rel-18 (so in general, not only for S&amp;F) that the values used in “satelliteId-r17” are expected to correspond to the values used in “satelliteId-r18” in other SIBs (e.g. the value used to identify the serving satellite in SIB33, SIB32 and SIB31 should be the same). Come back in the next meeting with an actual Rel-18 CR for this. FFS if in Rel-19 we need to say anything about the correspondence between the “satelliteId” IE and “S&amp;F Monitoring List”.</w:t>
            </w:r>
          </w:p>
          <w:p w14:paraId="2DD70D35" w14:textId="463AA121" w:rsidR="00B17F7F" w:rsidRPr="00B17F7F" w:rsidRDefault="00B17F7F" w:rsidP="00E3507B">
            <w:pPr>
              <w:rPr>
                <w:rFonts w:ascii="Times New Roman" w:hAnsi="Times New Roman"/>
                <w:sz w:val="22"/>
              </w:rPr>
            </w:pPr>
            <w:r w:rsidRPr="00B17F7F">
              <w:rPr>
                <w:rFonts w:ascii="Times New Roman" w:hAnsi="Times New Roman"/>
                <w:b/>
                <w:bCs/>
                <w:sz w:val="22"/>
              </w:rPr>
              <w:t>RAN2#</w:t>
            </w:r>
            <w:r w:rsidRPr="00B17F7F">
              <w:rPr>
                <w:rFonts w:ascii="Times New Roman" w:hAnsi="Times New Roman" w:hint="eastAsia"/>
                <w:b/>
                <w:bCs/>
                <w:sz w:val="22"/>
              </w:rPr>
              <w:t>130</w:t>
            </w:r>
            <w:r>
              <w:rPr>
                <w:rFonts w:ascii="Times New Roman" w:hAnsi="Times New Roman" w:hint="eastAsia"/>
                <w:b/>
                <w:bCs/>
                <w:sz w:val="22"/>
              </w:rPr>
              <w:t xml:space="preserve"> </w:t>
            </w:r>
            <w:r w:rsidRPr="009431E4">
              <w:rPr>
                <w:rFonts w:ascii="Times New Roman" w:hAnsi="Times New Roman"/>
                <w:b/>
                <w:bCs/>
                <w:sz w:val="22"/>
              </w:rPr>
              <w:t>Working Assumption</w:t>
            </w:r>
          </w:p>
          <w:p w14:paraId="7B1F29FF" w14:textId="5F94F2FD" w:rsidR="00B17F7F" w:rsidRPr="00925331" w:rsidRDefault="00B17F7F" w:rsidP="00E3507B">
            <w:pPr>
              <w:pStyle w:val="a6"/>
              <w:numPr>
                <w:ilvl w:val="0"/>
                <w:numId w:val="56"/>
              </w:numPr>
              <w:ind w:firstLineChars="0"/>
              <w:jc w:val="both"/>
              <w:rPr>
                <w:sz w:val="22"/>
              </w:rPr>
            </w:pPr>
            <w:r w:rsidRPr="00925331">
              <w:rPr>
                <w:sz w:val="22"/>
              </w:rPr>
              <w:t>In the neighbour cell list we introduce an indication whether the cell operates in S&amp;F mode or not (FFS if we also include the transition time). This WA can only be confirmed if we converge on the corresponding UE behaviour.</w:t>
            </w:r>
          </w:p>
        </w:tc>
      </w:tr>
    </w:tbl>
    <w:p w14:paraId="335C3B46" w14:textId="296F9FAA" w:rsidR="00F533B4" w:rsidRDefault="009B4F09" w:rsidP="00357D5B">
      <w:pPr>
        <w:spacing w:beforeLines="50" w:before="156" w:afterLines="50" w:after="156"/>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1E042A">
        <w:rPr>
          <w:rFonts w:ascii="Times New Roman" w:hAnsi="Times New Roman"/>
          <w:sz w:val="22"/>
        </w:rPr>
        <w:t xml:space="preserve">discuss </w:t>
      </w:r>
      <w:r w:rsidR="00C814F6">
        <w:rPr>
          <w:rFonts w:ascii="Times New Roman" w:hAnsi="Times New Roman" w:hint="eastAsia"/>
          <w:sz w:val="22"/>
        </w:rPr>
        <w:t xml:space="preserve">some </w:t>
      </w:r>
      <w:r w:rsidR="0079472E" w:rsidRPr="0079472E">
        <w:rPr>
          <w:rFonts w:ascii="Times New Roman" w:hAnsi="Times New Roman"/>
          <w:sz w:val="22"/>
        </w:rPr>
        <w:t>remaining issues for S&amp;F operation mode and transition time</w:t>
      </w:r>
      <w:r w:rsidR="00F533B4">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6A831E7B" w14:textId="0CE1AADF" w:rsidR="00C74C25" w:rsidRPr="00C74C25" w:rsidRDefault="00C74C25" w:rsidP="00C74C25">
      <w:pPr>
        <w:spacing w:beforeLines="50" w:before="156" w:afterLines="50" w:after="156"/>
        <w:outlineLvl w:val="1"/>
        <w:rPr>
          <w:rFonts w:ascii="Times New Roman" w:hAnsi="Times New Roman"/>
          <w:b/>
          <w:bCs/>
          <w:sz w:val="22"/>
          <w:u w:val="single"/>
        </w:rPr>
      </w:pPr>
      <w:r w:rsidRPr="00C74C25">
        <w:rPr>
          <w:rFonts w:ascii="Times New Roman" w:hAnsi="Times New Roman" w:hint="eastAsia"/>
          <w:b/>
          <w:bCs/>
          <w:sz w:val="22"/>
          <w:u w:val="single"/>
        </w:rPr>
        <w:t>Serving cell mode transition time and neighbour cell measurement</w:t>
      </w:r>
    </w:p>
    <w:p w14:paraId="67FA69CB" w14:textId="77777777" w:rsidR="00255778" w:rsidRDefault="00C74C25" w:rsidP="00C74C25">
      <w:pPr>
        <w:spacing w:beforeLines="50" w:before="156" w:afterLines="50" w:after="156"/>
        <w:rPr>
          <w:rFonts w:ascii="Times New Roman" w:hAnsi="Times New Roman"/>
          <w:sz w:val="22"/>
        </w:rPr>
      </w:pPr>
      <w:r>
        <w:rPr>
          <w:rFonts w:ascii="Times New Roman" w:hAnsi="Times New Roman" w:hint="eastAsia"/>
          <w:sz w:val="22"/>
        </w:rPr>
        <w:t xml:space="preserve">For the store and forward (S&amp;F) operation in IoT NTN, it has been agreed to introduce an </w:t>
      </w:r>
      <w:r w:rsidRPr="00E3507B">
        <w:rPr>
          <w:rFonts w:ascii="Times New Roman" w:hAnsi="Times New Roman"/>
          <w:sz w:val="22"/>
        </w:rPr>
        <w:t>“S&amp;F operation” indication in SIB1</w:t>
      </w:r>
      <w:r>
        <w:rPr>
          <w:rFonts w:ascii="Times New Roman" w:hAnsi="Times New Roman" w:hint="eastAsia"/>
          <w:sz w:val="22"/>
        </w:rPr>
        <w:t xml:space="preserve"> to indicate that whether a cell is operating in S&amp;F mode or normal mode, while its value can also act as a cell barring indication for S&amp;F-capable UEs. Meanwhile to help UE in preparation for the mode transition, a mode transition time indication </w:t>
      </w:r>
      <w:r w:rsidRPr="00C74C25">
        <w:rPr>
          <w:rFonts w:ascii="Times New Roman" w:hAnsi="Times New Roman"/>
          <w:sz w:val="22"/>
        </w:rPr>
        <w:t>(</w:t>
      </w:r>
      <w:r w:rsidRPr="00C74C25">
        <w:rPr>
          <w:rFonts w:ascii="Times New Roman" w:hAnsi="Times New Roman"/>
          <w:i/>
          <w:iCs/>
          <w:sz w:val="22"/>
        </w:rPr>
        <w:t>t-ModeSwitching</w:t>
      </w:r>
      <w:r w:rsidRPr="00C74C25">
        <w:rPr>
          <w:rFonts w:ascii="Times New Roman" w:hAnsi="Times New Roman"/>
          <w:sz w:val="22"/>
        </w:rPr>
        <w:t>)</w:t>
      </w:r>
      <w:r>
        <w:rPr>
          <w:rFonts w:ascii="Times New Roman" w:hAnsi="Times New Roman" w:hint="eastAsia"/>
          <w:sz w:val="22"/>
        </w:rPr>
        <w:t xml:space="preserve"> is also introduced, which indicates the </w:t>
      </w:r>
      <w:r w:rsidRPr="00C74C25">
        <w:rPr>
          <w:rFonts w:ascii="Times New Roman" w:hAnsi="Times New Roman"/>
          <w:sz w:val="22"/>
        </w:rPr>
        <w:t>when the normal mode will start</w:t>
      </w:r>
      <w:r>
        <w:rPr>
          <w:rFonts w:ascii="Times New Roman" w:hAnsi="Times New Roman" w:hint="eastAsia"/>
          <w:sz w:val="22"/>
        </w:rPr>
        <w:t xml:space="preserve"> if </w:t>
      </w:r>
      <w:r w:rsidRPr="00E3507B">
        <w:rPr>
          <w:rFonts w:ascii="Times New Roman" w:hAnsi="Times New Roman"/>
          <w:sz w:val="22"/>
        </w:rPr>
        <w:t>“S&amp;F operation” indication</w:t>
      </w:r>
      <w:r>
        <w:rPr>
          <w:rFonts w:ascii="Times New Roman" w:hAnsi="Times New Roman" w:hint="eastAsia"/>
          <w:sz w:val="22"/>
        </w:rPr>
        <w:t xml:space="preserve"> is </w:t>
      </w:r>
      <w:proofErr w:type="gramStart"/>
      <w:r>
        <w:rPr>
          <w:rFonts w:ascii="Times New Roman" w:hAnsi="Times New Roman"/>
          <w:sz w:val="22"/>
        </w:rPr>
        <w:t>present</w:t>
      </w:r>
      <w:r>
        <w:rPr>
          <w:rFonts w:ascii="Times New Roman" w:hAnsi="Times New Roman" w:hint="eastAsia"/>
          <w:sz w:val="22"/>
        </w:rPr>
        <w:t>, and</w:t>
      </w:r>
      <w:proofErr w:type="gramEnd"/>
      <w:r>
        <w:rPr>
          <w:rFonts w:ascii="Times New Roman" w:hAnsi="Times New Roman" w:hint="eastAsia"/>
          <w:sz w:val="22"/>
        </w:rPr>
        <w:t xml:space="preserve"> indicates </w:t>
      </w:r>
      <w:r w:rsidRPr="00C74C25">
        <w:rPr>
          <w:rFonts w:ascii="Times New Roman" w:hAnsi="Times New Roman"/>
          <w:sz w:val="22"/>
        </w:rPr>
        <w:t>when the S&amp;F mode will start</w:t>
      </w:r>
      <w:r>
        <w:rPr>
          <w:rFonts w:ascii="Times New Roman" w:hAnsi="Times New Roman" w:hint="eastAsia"/>
          <w:sz w:val="22"/>
        </w:rPr>
        <w:t xml:space="preserve"> if </w:t>
      </w:r>
      <w:r w:rsidRPr="00E3507B">
        <w:rPr>
          <w:rFonts w:ascii="Times New Roman" w:hAnsi="Times New Roman"/>
          <w:sz w:val="22"/>
        </w:rPr>
        <w:t>“S&amp;F operation” indication</w:t>
      </w:r>
      <w:r>
        <w:rPr>
          <w:rFonts w:ascii="Times New Roman" w:hAnsi="Times New Roman" w:hint="eastAsia"/>
          <w:sz w:val="22"/>
        </w:rPr>
        <w:t xml:space="preserve"> is absent.</w:t>
      </w:r>
      <w:r w:rsidR="00255778">
        <w:rPr>
          <w:rFonts w:ascii="Times New Roman" w:hAnsi="Times New Roman" w:hint="eastAsia"/>
          <w:sz w:val="22"/>
        </w:rPr>
        <w:t xml:space="preserve"> </w:t>
      </w:r>
      <w:r>
        <w:rPr>
          <w:rFonts w:ascii="Times New Roman" w:hAnsi="Times New Roman" w:hint="eastAsia"/>
          <w:sz w:val="22"/>
        </w:rPr>
        <w:t xml:space="preserve">Based on the previous agreements, it is </w:t>
      </w:r>
      <w:r>
        <w:rPr>
          <w:rFonts w:ascii="Times New Roman" w:hAnsi="Times New Roman"/>
          <w:sz w:val="22"/>
        </w:rPr>
        <w:t>foreseen</w:t>
      </w:r>
      <w:r>
        <w:rPr>
          <w:rFonts w:ascii="Times New Roman" w:hAnsi="Times New Roman" w:hint="eastAsia"/>
          <w:sz w:val="22"/>
        </w:rPr>
        <w:t xml:space="preserve"> that the</w:t>
      </w:r>
      <w:r w:rsidR="00346CA1">
        <w:rPr>
          <w:rFonts w:ascii="Times New Roman" w:hAnsi="Times New Roman" w:hint="eastAsia"/>
          <w:sz w:val="22"/>
        </w:rPr>
        <w:t xml:space="preserve"> </w:t>
      </w:r>
      <w:r w:rsidR="00346CA1">
        <w:rPr>
          <w:rFonts w:ascii="Times New Roman" w:hAnsi="Times New Roman" w:hint="eastAsia"/>
          <w:sz w:val="22"/>
        </w:rPr>
        <w:lastRenderedPageBreak/>
        <w:t xml:space="preserve">agreed mode transition time indication </w:t>
      </w:r>
      <w:r w:rsidR="00346CA1" w:rsidRPr="00C74C25">
        <w:rPr>
          <w:rFonts w:ascii="Times New Roman" w:hAnsi="Times New Roman"/>
          <w:sz w:val="22"/>
        </w:rPr>
        <w:t>(</w:t>
      </w:r>
      <w:r w:rsidR="00346CA1" w:rsidRPr="00C74C25">
        <w:rPr>
          <w:rFonts w:ascii="Times New Roman" w:hAnsi="Times New Roman"/>
          <w:i/>
          <w:iCs/>
          <w:sz w:val="22"/>
        </w:rPr>
        <w:t>t-ModeSwitching</w:t>
      </w:r>
      <w:r w:rsidR="00346CA1" w:rsidRPr="00C74C25">
        <w:rPr>
          <w:rFonts w:ascii="Times New Roman" w:hAnsi="Times New Roman"/>
          <w:sz w:val="22"/>
        </w:rPr>
        <w:t>)</w:t>
      </w:r>
      <w:r w:rsidR="00346CA1">
        <w:rPr>
          <w:rFonts w:ascii="Times New Roman" w:hAnsi="Times New Roman" w:hint="eastAsia"/>
          <w:sz w:val="22"/>
        </w:rPr>
        <w:t xml:space="preserve"> may have impact on the neighbour cell measurement triggering. </w:t>
      </w:r>
    </w:p>
    <w:p w14:paraId="7757DDB8" w14:textId="310126E8" w:rsidR="00C74C25" w:rsidRPr="00C74C25" w:rsidRDefault="00346CA1" w:rsidP="00C74C25">
      <w:pPr>
        <w:spacing w:beforeLines="50" w:before="156" w:afterLines="50" w:after="156"/>
        <w:rPr>
          <w:rFonts w:ascii="Times New Roman" w:hAnsi="Times New Roman"/>
          <w:sz w:val="22"/>
        </w:rPr>
      </w:pPr>
      <w:r>
        <w:rPr>
          <w:rFonts w:ascii="Times New Roman" w:hAnsi="Times New Roman" w:hint="eastAsia"/>
          <w:sz w:val="22"/>
        </w:rPr>
        <w:t>On one hand (where less or no impact</w:t>
      </w:r>
      <w:r w:rsidR="00255778">
        <w:rPr>
          <w:rFonts w:ascii="Times New Roman" w:hAnsi="Times New Roman" w:hint="eastAsia"/>
          <w:sz w:val="22"/>
        </w:rPr>
        <w:t xml:space="preserve"> is expected</w:t>
      </w:r>
      <w:r>
        <w:rPr>
          <w:rFonts w:ascii="Times New Roman" w:hAnsi="Times New Roman" w:hint="eastAsia"/>
          <w:sz w:val="22"/>
        </w:rPr>
        <w:t>) for a cell operating in S&amp;F mode</w:t>
      </w:r>
      <w:r w:rsidR="00255778">
        <w:rPr>
          <w:rFonts w:ascii="Times New Roman" w:hAnsi="Times New Roman" w:hint="eastAsia"/>
          <w:sz w:val="22"/>
        </w:rPr>
        <w:t>,</w:t>
      </w:r>
      <w:r>
        <w:rPr>
          <w:rFonts w:ascii="Times New Roman" w:hAnsi="Times New Roman" w:hint="eastAsia"/>
          <w:sz w:val="22"/>
        </w:rPr>
        <w:t xml:space="preserve"> only the S&amp;F-capable UE</w:t>
      </w:r>
      <w:r w:rsidR="00255778">
        <w:rPr>
          <w:rFonts w:ascii="Times New Roman" w:hAnsi="Times New Roman" w:hint="eastAsia"/>
          <w:sz w:val="22"/>
        </w:rPr>
        <w:t xml:space="preserve"> may camp on. It is reasonable that all the services that can be delivered in S&amp;F mode can also be delivered in normal mode (even with better QoS), </w:t>
      </w:r>
      <w:r w:rsidR="00537AA5">
        <w:rPr>
          <w:rFonts w:ascii="Times New Roman" w:hAnsi="Times New Roman" w:hint="eastAsia"/>
          <w:sz w:val="22"/>
        </w:rPr>
        <w:t xml:space="preserve">and </w:t>
      </w:r>
      <w:r w:rsidR="00255778">
        <w:rPr>
          <w:rFonts w:ascii="Times New Roman" w:hAnsi="Times New Roman" w:hint="eastAsia"/>
          <w:sz w:val="22"/>
        </w:rPr>
        <w:t>as a result</w:t>
      </w:r>
      <w:r>
        <w:rPr>
          <w:rFonts w:ascii="Times New Roman" w:hAnsi="Times New Roman" w:hint="eastAsia"/>
          <w:sz w:val="22"/>
        </w:rPr>
        <w:t xml:space="preserve"> </w:t>
      </w:r>
      <w:r w:rsidRPr="002B7615">
        <w:rPr>
          <w:rFonts w:ascii="Times New Roman" w:eastAsiaTheme="minorEastAsia" w:hAnsi="Times New Roman"/>
          <w:sz w:val="22"/>
        </w:rPr>
        <w:t xml:space="preserve">it is unnecessary to trigger neighbour cell measurement </w:t>
      </w:r>
      <w:r w:rsidR="00255778">
        <w:rPr>
          <w:rFonts w:ascii="Times New Roman" w:eastAsiaTheme="minorEastAsia" w:hAnsi="Times New Roman" w:hint="eastAsia"/>
          <w:sz w:val="22"/>
        </w:rPr>
        <w:t xml:space="preserve">for these UEs </w:t>
      </w:r>
      <w:r>
        <w:rPr>
          <w:rFonts w:ascii="Times New Roman" w:eastAsiaTheme="minorEastAsia" w:hAnsi="Times New Roman" w:hint="eastAsia"/>
          <w:sz w:val="22"/>
        </w:rPr>
        <w:t xml:space="preserve">before the time when </w:t>
      </w:r>
      <w:r w:rsidRPr="00C74C25">
        <w:rPr>
          <w:rFonts w:ascii="Times New Roman" w:hAnsi="Times New Roman"/>
          <w:sz w:val="22"/>
        </w:rPr>
        <w:t>the normal mode will start</w:t>
      </w:r>
      <w:r w:rsidR="00255778">
        <w:rPr>
          <w:rFonts w:ascii="Times New Roman" w:hAnsi="Times New Roman" w:hint="eastAsia"/>
          <w:sz w:val="22"/>
        </w:rPr>
        <w:t>.</w:t>
      </w:r>
    </w:p>
    <w:p w14:paraId="3A2EF2E7" w14:textId="56CB5EEB" w:rsidR="00C74C25" w:rsidRPr="00255778" w:rsidRDefault="00C74C25" w:rsidP="00C74C25">
      <w:pPr>
        <w:spacing w:beforeLines="50" w:before="156" w:afterLines="50" w:after="156"/>
        <w:rPr>
          <w:rFonts w:ascii="Times New Roman" w:hAnsi="Times New Roman"/>
          <w:b/>
          <w:bCs/>
          <w:sz w:val="22"/>
        </w:rPr>
      </w:pPr>
      <w:r w:rsidRPr="00255778">
        <w:rPr>
          <w:rFonts w:ascii="Times New Roman" w:hAnsi="Times New Roman"/>
          <w:b/>
          <w:bCs/>
          <w:sz w:val="22"/>
        </w:rPr>
        <w:t xml:space="preserve">Proposal </w:t>
      </w:r>
      <w:r w:rsidR="00255778" w:rsidRPr="00255778">
        <w:rPr>
          <w:rFonts w:ascii="Times New Roman" w:hAnsi="Times New Roman" w:hint="eastAsia"/>
          <w:b/>
          <w:bCs/>
          <w:sz w:val="22"/>
        </w:rPr>
        <w:t>1</w:t>
      </w:r>
      <w:r w:rsidRPr="00255778">
        <w:rPr>
          <w:rFonts w:ascii="Times New Roman" w:hAnsi="Times New Roman"/>
          <w:b/>
          <w:bCs/>
          <w:sz w:val="22"/>
        </w:rPr>
        <w:t xml:space="preserve">: </w:t>
      </w:r>
      <w:r w:rsidRPr="00255778">
        <w:rPr>
          <w:rFonts w:ascii="Times New Roman" w:hAnsi="Times New Roman" w:hint="eastAsia"/>
          <w:b/>
          <w:bCs/>
          <w:sz w:val="22"/>
        </w:rPr>
        <w:t xml:space="preserve">An </w:t>
      </w:r>
      <w:r w:rsidRPr="00255778">
        <w:rPr>
          <w:rFonts w:ascii="Times New Roman" w:hAnsi="Times New Roman"/>
          <w:b/>
          <w:bCs/>
          <w:sz w:val="22"/>
        </w:rPr>
        <w:t>S&amp;F-capable</w:t>
      </w:r>
      <w:r w:rsidR="00255778">
        <w:rPr>
          <w:rFonts w:ascii="Times New Roman" w:hAnsi="Times New Roman" w:hint="eastAsia"/>
          <w:b/>
          <w:bCs/>
          <w:sz w:val="22"/>
        </w:rPr>
        <w:t xml:space="preserve"> UE</w:t>
      </w:r>
      <w:r w:rsidRPr="00255778">
        <w:rPr>
          <w:rFonts w:ascii="Times New Roman" w:hAnsi="Times New Roman" w:hint="eastAsia"/>
          <w:b/>
          <w:bCs/>
          <w:sz w:val="22"/>
        </w:rPr>
        <w:t xml:space="preserve"> </w:t>
      </w:r>
      <w:r w:rsidRPr="00255778">
        <w:rPr>
          <w:rFonts w:ascii="Times New Roman" w:hAnsi="Times New Roman"/>
          <w:b/>
          <w:bCs/>
          <w:sz w:val="22"/>
        </w:rPr>
        <w:t>is not required to trigger neighbour cell measurement for cell reselection before the mode transition time from SF to normal.</w:t>
      </w:r>
    </w:p>
    <w:p w14:paraId="45F1EC56" w14:textId="5A7B11A4" w:rsidR="00255778" w:rsidRDefault="00255778" w:rsidP="00C74C25">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On the other hand (</w:t>
      </w:r>
      <w:r>
        <w:rPr>
          <w:rFonts w:ascii="Times New Roman" w:hAnsi="Times New Roman" w:hint="eastAsia"/>
          <w:sz w:val="22"/>
        </w:rPr>
        <w:t>where more impact is expected</w:t>
      </w:r>
      <w:r>
        <w:rPr>
          <w:rFonts w:ascii="Times New Roman" w:eastAsiaTheme="minorEastAsia" w:hAnsi="Times New Roman" w:hint="eastAsia"/>
          <w:sz w:val="22"/>
        </w:rPr>
        <w:t>)</w:t>
      </w:r>
      <w:r w:rsidRPr="00255778">
        <w:rPr>
          <w:rFonts w:ascii="Times New Roman" w:hAnsi="Times New Roman" w:hint="eastAsia"/>
          <w:sz w:val="22"/>
        </w:rPr>
        <w:t xml:space="preserve"> </w:t>
      </w:r>
      <w:r>
        <w:rPr>
          <w:rFonts w:ascii="Times New Roman" w:hAnsi="Times New Roman" w:hint="eastAsia"/>
          <w:sz w:val="22"/>
        </w:rPr>
        <w:t xml:space="preserve">for a cell operating in normal mode, both the S&amp;F-capable UE and the S&amp;F-incapable UE may camp on. Some services that can be delivered in normal mode (e.g., </w:t>
      </w:r>
      <w:r w:rsidR="00537AA5">
        <w:rPr>
          <w:rFonts w:ascii="Times New Roman" w:hAnsi="Times New Roman" w:hint="eastAsia"/>
          <w:sz w:val="22"/>
        </w:rPr>
        <w:t>time-sensitive services</w:t>
      </w:r>
      <w:r>
        <w:rPr>
          <w:rFonts w:ascii="Times New Roman" w:hAnsi="Times New Roman" w:hint="eastAsia"/>
          <w:sz w:val="22"/>
        </w:rPr>
        <w:t>) may not be delivered in S&amp;F mode</w:t>
      </w:r>
      <w:r w:rsidR="00537AA5">
        <w:rPr>
          <w:rFonts w:ascii="Times New Roman" w:hAnsi="Times New Roman" w:hint="eastAsia"/>
          <w:sz w:val="22"/>
        </w:rPr>
        <w:t xml:space="preserve"> due to large delivery delay. As a result, the S&amp;F-capable UE may choose to camp on the cell when it transits to S&amp;F mode, while the S&amp;F-incapable UE </w:t>
      </w:r>
      <w:proofErr w:type="gramStart"/>
      <w:r w:rsidR="00537AA5">
        <w:rPr>
          <w:rFonts w:ascii="Times New Roman" w:hAnsi="Times New Roman" w:hint="eastAsia"/>
          <w:sz w:val="22"/>
        </w:rPr>
        <w:t>has to</w:t>
      </w:r>
      <w:proofErr w:type="gramEnd"/>
      <w:r w:rsidR="00537AA5">
        <w:rPr>
          <w:rFonts w:ascii="Times New Roman" w:hAnsi="Times New Roman" w:hint="eastAsia"/>
          <w:sz w:val="22"/>
        </w:rPr>
        <w:t xml:space="preserve"> triggered neighbour cell measurement before the mode transition time so that it may reselect to another cell e.g., one operating in normal mode.</w:t>
      </w:r>
    </w:p>
    <w:p w14:paraId="3B42498D" w14:textId="1EF35FCC" w:rsidR="00C74C25" w:rsidRPr="00537AA5" w:rsidRDefault="00C74C25" w:rsidP="00C74C25">
      <w:pPr>
        <w:spacing w:beforeLines="50" w:before="156" w:afterLines="50" w:after="156"/>
        <w:rPr>
          <w:rFonts w:ascii="Times New Roman" w:hAnsi="Times New Roman"/>
          <w:b/>
          <w:bCs/>
          <w:sz w:val="22"/>
        </w:rPr>
      </w:pPr>
      <w:r w:rsidRPr="00537AA5">
        <w:rPr>
          <w:rFonts w:ascii="Times New Roman" w:hAnsi="Times New Roman"/>
          <w:b/>
          <w:bCs/>
          <w:sz w:val="22"/>
        </w:rPr>
        <w:t xml:space="preserve">Proposal </w:t>
      </w:r>
      <w:r w:rsidR="00537AA5" w:rsidRPr="00537AA5">
        <w:rPr>
          <w:rFonts w:ascii="Times New Roman" w:hAnsi="Times New Roman" w:hint="eastAsia"/>
          <w:b/>
          <w:bCs/>
          <w:sz w:val="22"/>
        </w:rPr>
        <w:t>2</w:t>
      </w:r>
      <w:r w:rsidRPr="00537AA5">
        <w:rPr>
          <w:rFonts w:ascii="Times New Roman" w:hAnsi="Times New Roman"/>
          <w:b/>
          <w:bCs/>
          <w:sz w:val="22"/>
        </w:rPr>
        <w:t xml:space="preserve">: S&amp;F-capable UE is not required to trigger neighbour cell measurement for cell reselection before the mode transition time from normal to SF. </w:t>
      </w:r>
    </w:p>
    <w:p w14:paraId="790C8A66" w14:textId="46093DD9" w:rsidR="00C74C25" w:rsidRPr="00537AA5" w:rsidRDefault="00C74C25" w:rsidP="00C74C25">
      <w:pPr>
        <w:spacing w:beforeLines="50" w:before="156" w:afterLines="50" w:after="156"/>
        <w:rPr>
          <w:rFonts w:ascii="Times New Roman" w:hAnsi="Times New Roman"/>
          <w:b/>
          <w:bCs/>
          <w:sz w:val="22"/>
        </w:rPr>
      </w:pPr>
      <w:r w:rsidRPr="00537AA5">
        <w:rPr>
          <w:rFonts w:ascii="Times New Roman" w:hAnsi="Times New Roman"/>
          <w:b/>
          <w:bCs/>
          <w:sz w:val="22"/>
        </w:rPr>
        <w:t xml:space="preserve">Proposal </w:t>
      </w:r>
      <w:r w:rsidR="00537AA5" w:rsidRPr="00537AA5">
        <w:rPr>
          <w:rFonts w:ascii="Times New Roman" w:hAnsi="Times New Roman" w:hint="eastAsia"/>
          <w:b/>
          <w:bCs/>
          <w:sz w:val="22"/>
        </w:rPr>
        <w:t>3</w:t>
      </w:r>
      <w:r w:rsidRPr="00537AA5">
        <w:rPr>
          <w:rFonts w:ascii="Times New Roman" w:hAnsi="Times New Roman"/>
          <w:b/>
          <w:bCs/>
          <w:sz w:val="22"/>
        </w:rPr>
        <w:t>: S&amp;F-incapable UE is required to trigger neighbour cell measurement for cell reselection before the mode transition time from normal to SF.</w:t>
      </w:r>
    </w:p>
    <w:p w14:paraId="21FBE06E" w14:textId="77777777" w:rsidR="00C74C25" w:rsidRPr="009431E4" w:rsidRDefault="00C74C25" w:rsidP="00C74C25">
      <w:pPr>
        <w:spacing w:beforeLines="50" w:before="156" w:afterLines="50" w:after="156"/>
        <w:outlineLvl w:val="1"/>
        <w:rPr>
          <w:rFonts w:ascii="Times New Roman" w:hAnsi="Times New Roman"/>
          <w:b/>
          <w:bCs/>
          <w:sz w:val="22"/>
          <w:u w:val="single"/>
        </w:rPr>
      </w:pPr>
      <w:r w:rsidRPr="009431E4">
        <w:rPr>
          <w:rFonts w:ascii="Times New Roman" w:hAnsi="Times New Roman" w:hint="eastAsia"/>
          <w:b/>
          <w:bCs/>
          <w:sz w:val="22"/>
          <w:u w:val="single"/>
        </w:rPr>
        <w:t>Neighbour cell operation mode indication</w:t>
      </w:r>
    </w:p>
    <w:p w14:paraId="2E669AED" w14:textId="280CF078" w:rsidR="00E3507B" w:rsidRPr="00537AA5" w:rsidRDefault="00537AA5" w:rsidP="009431E4">
      <w:pPr>
        <w:spacing w:beforeLines="50" w:before="156" w:afterLines="50" w:after="156"/>
        <w:rPr>
          <w:rFonts w:ascii="Times New Roman" w:hAnsi="Times New Roman"/>
          <w:sz w:val="22"/>
        </w:rPr>
      </w:pPr>
      <w:r>
        <w:rPr>
          <w:rFonts w:ascii="Times New Roman" w:hAnsi="Times New Roman" w:hint="eastAsia"/>
          <w:sz w:val="22"/>
        </w:rPr>
        <w:t xml:space="preserve">For the neighbour cells, the similar logic as above applies, i.e. at least the </w:t>
      </w:r>
      <w:r w:rsidRPr="009431E4">
        <w:rPr>
          <w:rFonts w:ascii="Times New Roman" w:hAnsi="Times New Roman"/>
          <w:sz w:val="22"/>
        </w:rPr>
        <w:t>S&amp;F-incapable UE</w:t>
      </w:r>
      <w:r>
        <w:rPr>
          <w:rFonts w:ascii="Times New Roman" w:hAnsi="Times New Roman" w:hint="eastAsia"/>
          <w:sz w:val="22"/>
        </w:rPr>
        <w:t xml:space="preserve"> does not expect to reselect to a cell operating in S&amp;F mode</w:t>
      </w:r>
      <w:r w:rsidR="00D44F72">
        <w:rPr>
          <w:rFonts w:ascii="Times New Roman" w:hAnsi="Times New Roman" w:hint="eastAsia"/>
          <w:sz w:val="22"/>
        </w:rPr>
        <w:t>. From this perspective, at least the operation indication of neighbour cell is useful for cell reselection.</w:t>
      </w:r>
    </w:p>
    <w:p w14:paraId="64BBDB85" w14:textId="5C19612F" w:rsidR="00D44F72" w:rsidRPr="00FF680D" w:rsidRDefault="009431E4" w:rsidP="009431E4">
      <w:pPr>
        <w:spacing w:beforeLines="50" w:before="156" w:afterLines="50" w:after="156"/>
        <w:rPr>
          <w:rFonts w:ascii="Times New Roman" w:hAnsi="Times New Roman"/>
          <w:b/>
          <w:bCs/>
          <w:sz w:val="22"/>
        </w:rPr>
      </w:pPr>
      <w:r w:rsidRPr="00FF680D">
        <w:rPr>
          <w:rFonts w:ascii="Times New Roman" w:hAnsi="Times New Roman"/>
          <w:b/>
          <w:bCs/>
          <w:sz w:val="22"/>
        </w:rPr>
        <w:t xml:space="preserve">Proposal </w:t>
      </w:r>
      <w:r w:rsidR="00FF680D" w:rsidRPr="00FF680D">
        <w:rPr>
          <w:rFonts w:ascii="Times New Roman" w:hAnsi="Times New Roman" w:hint="eastAsia"/>
          <w:b/>
          <w:bCs/>
          <w:sz w:val="22"/>
        </w:rPr>
        <w:t>4</w:t>
      </w:r>
      <w:r w:rsidRPr="00FF680D">
        <w:rPr>
          <w:rFonts w:ascii="Times New Roman" w:hAnsi="Times New Roman"/>
          <w:b/>
          <w:bCs/>
          <w:sz w:val="22"/>
        </w:rPr>
        <w:t>: Confirm the</w:t>
      </w:r>
      <w:r w:rsidR="00D44F72" w:rsidRPr="00FF680D">
        <w:rPr>
          <w:rFonts w:ascii="Times New Roman" w:hAnsi="Times New Roman" w:hint="eastAsia"/>
          <w:b/>
          <w:bCs/>
          <w:sz w:val="22"/>
        </w:rPr>
        <w:t xml:space="preserve"> following part of the previous</w:t>
      </w:r>
      <w:r w:rsidRPr="00FF680D">
        <w:rPr>
          <w:rFonts w:ascii="Times New Roman" w:hAnsi="Times New Roman"/>
          <w:b/>
          <w:bCs/>
          <w:sz w:val="22"/>
        </w:rPr>
        <w:t xml:space="preserve"> Working Assumption</w:t>
      </w:r>
      <w:r w:rsidR="00D44F72" w:rsidRPr="00FF680D">
        <w:rPr>
          <w:rFonts w:ascii="Times New Roman" w:hAnsi="Times New Roman" w:hint="eastAsia"/>
          <w:b/>
          <w:bCs/>
          <w:sz w:val="22"/>
        </w:rPr>
        <w:t xml:space="preserve"> </w:t>
      </w:r>
      <w:r w:rsidR="00D44F72" w:rsidRPr="00FF680D">
        <w:rPr>
          <w:rFonts w:ascii="Times New Roman" w:hAnsi="Times New Roman"/>
          <w:b/>
          <w:bCs/>
          <w:sz w:val="22"/>
        </w:rPr>
        <w:t>“In the neighbour cell list we introduce an indication whether the cell operates in S&amp;F mode or not”</w:t>
      </w:r>
      <w:r w:rsidR="00D44F72" w:rsidRPr="00FF680D">
        <w:rPr>
          <w:rFonts w:ascii="Times New Roman" w:hAnsi="Times New Roman" w:hint="eastAsia"/>
          <w:b/>
          <w:bCs/>
          <w:sz w:val="22"/>
        </w:rPr>
        <w:t>.</w:t>
      </w:r>
    </w:p>
    <w:p w14:paraId="0451A33F" w14:textId="7D31855C" w:rsidR="00D44F72" w:rsidRDefault="00D44F72" w:rsidP="009431E4">
      <w:pPr>
        <w:spacing w:beforeLines="50" w:before="156" w:afterLines="50" w:after="156"/>
        <w:rPr>
          <w:rFonts w:ascii="Times New Roman" w:hAnsi="Times New Roman"/>
          <w:sz w:val="22"/>
        </w:rPr>
      </w:pPr>
      <w:r>
        <w:rPr>
          <w:rFonts w:ascii="Times New Roman" w:hAnsi="Times New Roman" w:hint="eastAsia"/>
          <w:sz w:val="22"/>
        </w:rPr>
        <w:t>And such information can at least be used by the S&amp;F-incapable UE to avoid cell reselection to a cell operating in S&amp;F mode.</w:t>
      </w:r>
    </w:p>
    <w:p w14:paraId="7C6F91F9" w14:textId="545836D0" w:rsidR="009431E4" w:rsidRPr="00FF680D" w:rsidRDefault="009431E4" w:rsidP="009431E4">
      <w:pPr>
        <w:spacing w:beforeLines="50" w:before="156" w:afterLines="50" w:after="156"/>
        <w:rPr>
          <w:rFonts w:ascii="Times New Roman" w:hAnsi="Times New Roman"/>
          <w:b/>
          <w:bCs/>
          <w:sz w:val="22"/>
        </w:rPr>
      </w:pPr>
      <w:r w:rsidRPr="00FF680D">
        <w:rPr>
          <w:rFonts w:ascii="Times New Roman" w:hAnsi="Times New Roman"/>
          <w:b/>
          <w:bCs/>
          <w:sz w:val="22"/>
        </w:rPr>
        <w:t xml:space="preserve">Proposal </w:t>
      </w:r>
      <w:r w:rsidR="00FF680D" w:rsidRPr="00FF680D">
        <w:rPr>
          <w:rFonts w:ascii="Times New Roman" w:hAnsi="Times New Roman" w:hint="eastAsia"/>
          <w:b/>
          <w:bCs/>
          <w:sz w:val="22"/>
        </w:rPr>
        <w:t>5</w:t>
      </w:r>
      <w:r w:rsidRPr="00FF680D">
        <w:rPr>
          <w:rFonts w:ascii="Times New Roman" w:hAnsi="Times New Roman"/>
          <w:b/>
          <w:bCs/>
          <w:sz w:val="22"/>
        </w:rPr>
        <w:t>: S&amp;F-incapable UE can deprioritize the frequency of a neighbour cell operating in SF mode for cell reselection.</w:t>
      </w:r>
    </w:p>
    <w:p w14:paraId="661F70F0" w14:textId="38680780" w:rsidR="00D44F72" w:rsidRDefault="00D44F72" w:rsidP="00D44F72">
      <w:pPr>
        <w:spacing w:beforeLines="50" w:before="156" w:afterLines="50" w:after="156"/>
        <w:rPr>
          <w:rFonts w:ascii="Times New Roman" w:hAnsi="Times New Roman"/>
          <w:sz w:val="22"/>
        </w:rPr>
      </w:pPr>
      <w:r>
        <w:rPr>
          <w:rFonts w:ascii="Times New Roman" w:hAnsi="Times New Roman" w:hint="eastAsia"/>
          <w:sz w:val="22"/>
        </w:rPr>
        <w:t xml:space="preserve">A followed question is whether the mode </w:t>
      </w:r>
      <w:r w:rsidRPr="00D44F72">
        <w:rPr>
          <w:rFonts w:ascii="Times New Roman" w:hAnsi="Times New Roman"/>
          <w:sz w:val="22"/>
        </w:rPr>
        <w:t>transition time</w:t>
      </w:r>
      <w:r>
        <w:rPr>
          <w:rFonts w:ascii="Times New Roman" w:hAnsi="Times New Roman" w:hint="eastAsia"/>
          <w:sz w:val="22"/>
        </w:rPr>
        <w:t xml:space="preserve"> information of neighbour cells is also useful</w:t>
      </w:r>
      <w:r w:rsidRPr="009431E4">
        <w:rPr>
          <w:rFonts w:ascii="Times New Roman" w:hAnsi="Times New Roman"/>
          <w:sz w:val="22"/>
        </w:rPr>
        <w:t>.</w:t>
      </w:r>
      <w:r>
        <w:rPr>
          <w:rFonts w:ascii="Times New Roman" w:hAnsi="Times New Roman" w:hint="eastAsia"/>
          <w:sz w:val="22"/>
        </w:rPr>
        <w:t xml:space="preserve"> In our understanding the </w:t>
      </w:r>
      <w:r w:rsidRPr="009431E4">
        <w:rPr>
          <w:rFonts w:ascii="Times New Roman" w:hAnsi="Times New Roman"/>
          <w:sz w:val="22"/>
        </w:rPr>
        <w:t>S&amp;F-incapable UE</w:t>
      </w:r>
      <w:r>
        <w:rPr>
          <w:rFonts w:ascii="Times New Roman" w:hAnsi="Times New Roman" w:hint="eastAsia"/>
          <w:sz w:val="22"/>
        </w:rPr>
        <w:t xml:space="preserve"> does not expect to reselect to a cell going to transit to S&amp;F mode and thus such information can be useful, but we also think that how to use such information can be UE implementation to minimize the specification impact for the last meeting</w:t>
      </w:r>
      <w:r w:rsidR="00FF680D">
        <w:rPr>
          <w:rFonts w:ascii="Times New Roman" w:hAnsi="Times New Roman" w:hint="eastAsia"/>
          <w:sz w:val="22"/>
        </w:rPr>
        <w:t xml:space="preserve">, i.e. there is no need to specify how UE use the mode </w:t>
      </w:r>
      <w:r w:rsidR="00FF680D" w:rsidRPr="00D44F72">
        <w:rPr>
          <w:rFonts w:ascii="Times New Roman" w:hAnsi="Times New Roman"/>
          <w:sz w:val="22"/>
        </w:rPr>
        <w:t>transition time</w:t>
      </w:r>
      <w:r w:rsidR="00FF680D">
        <w:rPr>
          <w:rFonts w:ascii="Times New Roman" w:hAnsi="Times New Roman" w:hint="eastAsia"/>
          <w:sz w:val="22"/>
        </w:rPr>
        <w:t xml:space="preserve"> information of neighbour cells.</w:t>
      </w:r>
    </w:p>
    <w:p w14:paraId="030DCD17" w14:textId="7C22650C" w:rsidR="00FF680D" w:rsidRPr="00FF680D" w:rsidRDefault="00FF680D" w:rsidP="00D44F72">
      <w:pPr>
        <w:spacing w:beforeLines="50" w:before="156" w:afterLines="50" w:after="156"/>
        <w:rPr>
          <w:rFonts w:ascii="Times New Roman" w:hAnsi="Times New Roman"/>
          <w:b/>
          <w:bCs/>
          <w:sz w:val="22"/>
        </w:rPr>
      </w:pPr>
      <w:r w:rsidRPr="00FF680D">
        <w:rPr>
          <w:rFonts w:ascii="Times New Roman" w:hAnsi="Times New Roman" w:hint="eastAsia"/>
          <w:b/>
          <w:bCs/>
          <w:sz w:val="22"/>
        </w:rPr>
        <w:t xml:space="preserve">Proposal 6: </w:t>
      </w:r>
      <w:r w:rsidRPr="00FF680D">
        <w:rPr>
          <w:rFonts w:ascii="Times New Roman" w:hAnsi="Times New Roman"/>
          <w:b/>
          <w:bCs/>
          <w:sz w:val="22"/>
        </w:rPr>
        <w:t>Confirm the</w:t>
      </w:r>
      <w:r w:rsidRPr="00FF680D">
        <w:rPr>
          <w:rFonts w:ascii="Times New Roman" w:hAnsi="Times New Roman" w:hint="eastAsia"/>
          <w:b/>
          <w:bCs/>
          <w:sz w:val="22"/>
        </w:rPr>
        <w:t xml:space="preserve"> FFS part of the previous</w:t>
      </w:r>
      <w:r w:rsidRPr="00FF680D">
        <w:rPr>
          <w:rFonts w:ascii="Times New Roman" w:hAnsi="Times New Roman"/>
          <w:b/>
          <w:bCs/>
          <w:sz w:val="22"/>
        </w:rPr>
        <w:t xml:space="preserve"> Working Assumption</w:t>
      </w:r>
      <w:r w:rsidRPr="00FF680D">
        <w:rPr>
          <w:rFonts w:ascii="Times New Roman" w:hAnsi="Times New Roman" w:hint="eastAsia"/>
          <w:b/>
          <w:bCs/>
          <w:sz w:val="22"/>
        </w:rPr>
        <w:t>, e.g. i</w:t>
      </w:r>
      <w:r w:rsidRPr="00FF680D">
        <w:rPr>
          <w:rFonts w:ascii="Times New Roman" w:hAnsi="Times New Roman"/>
          <w:b/>
          <w:bCs/>
          <w:sz w:val="22"/>
        </w:rPr>
        <w:t xml:space="preserve">n the neighbour cell list we introduce </w:t>
      </w:r>
      <w:r w:rsidRPr="00FF680D">
        <w:rPr>
          <w:rFonts w:ascii="Times New Roman" w:hAnsi="Times New Roman" w:hint="eastAsia"/>
          <w:b/>
          <w:bCs/>
          <w:sz w:val="22"/>
        </w:rPr>
        <w:t>the mode transition time information of</w:t>
      </w:r>
      <w:r w:rsidRPr="00FF680D">
        <w:rPr>
          <w:rFonts w:ascii="Times New Roman" w:hAnsi="Times New Roman"/>
          <w:b/>
          <w:bCs/>
          <w:sz w:val="22"/>
        </w:rPr>
        <w:t xml:space="preserve"> the cell</w:t>
      </w:r>
      <w:r w:rsidRPr="00FF680D">
        <w:rPr>
          <w:rFonts w:ascii="Times New Roman" w:hAnsi="Times New Roman" w:hint="eastAsia"/>
          <w:b/>
          <w:bCs/>
          <w:sz w:val="22"/>
        </w:rPr>
        <w:t>.</w:t>
      </w:r>
      <w:r>
        <w:rPr>
          <w:rFonts w:ascii="Times New Roman" w:hAnsi="Times New Roman" w:hint="eastAsia"/>
          <w:b/>
          <w:bCs/>
          <w:sz w:val="22"/>
        </w:rPr>
        <w:t xml:space="preserve"> How to use such information is up to UE implementation.</w:t>
      </w:r>
    </w:p>
    <w:bookmarkEnd w:id="5"/>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lastRenderedPageBreak/>
        <w:t>Conclusion</w:t>
      </w:r>
    </w:p>
    <w:p w14:paraId="362B86AF" w14:textId="7631DA97" w:rsidR="009A4608" w:rsidRDefault="00E40D1C" w:rsidP="00357D5B">
      <w:pPr>
        <w:spacing w:beforeLines="50" w:before="156" w:afterLines="50" w:after="156"/>
        <w:rPr>
          <w:rFonts w:ascii="Times New Roman" w:hAnsi="Times New Roman"/>
          <w:sz w:val="22"/>
        </w:rPr>
      </w:pPr>
      <w:r w:rsidRPr="00E40D1C">
        <w:rPr>
          <w:rFonts w:ascii="Times New Roman" w:hAnsi="Times New Roman"/>
          <w:sz w:val="22"/>
        </w:rPr>
        <w:t xml:space="preserve">In this contribution we discuss </w:t>
      </w:r>
      <w:r w:rsidR="00F7221A">
        <w:rPr>
          <w:rFonts w:ascii="Times New Roman" w:hAnsi="Times New Roman" w:hint="eastAsia"/>
          <w:sz w:val="22"/>
        </w:rPr>
        <w:t>further issues and enhancements for the mode transitions in</w:t>
      </w:r>
      <w:r w:rsidR="00F7221A">
        <w:rPr>
          <w:rFonts w:ascii="Times New Roman" w:hAnsi="Times New Roman"/>
          <w:sz w:val="22"/>
        </w:rPr>
        <w:t xml:space="preserve"> S&amp;F</w:t>
      </w:r>
      <w:r w:rsidR="00F7221A">
        <w:rPr>
          <w:rFonts w:ascii="Times New Roman" w:hAnsi="Times New Roman" w:hint="eastAsia"/>
          <w:sz w:val="22"/>
        </w:rPr>
        <w:t xml:space="preserve"> </w:t>
      </w:r>
      <w:proofErr w:type="gramStart"/>
      <w:r w:rsidR="00F7221A">
        <w:rPr>
          <w:rFonts w:ascii="Times New Roman" w:hAnsi="Times New Roman" w:hint="eastAsia"/>
          <w:sz w:val="22"/>
        </w:rPr>
        <w:t>operation</w:t>
      </w:r>
      <w:r w:rsidR="00F7221A">
        <w:rPr>
          <w:rFonts w:ascii="Times New Roman" w:hAnsi="Times New Roman"/>
          <w:sz w:val="22"/>
        </w:rPr>
        <w:t>.</w:t>
      </w:r>
      <w:r w:rsidR="00364F6D">
        <w:rPr>
          <w:rFonts w:ascii="Times New Roman" w:hAnsi="Times New Roman" w:hint="eastAsia"/>
          <w:sz w:val="22"/>
        </w:rPr>
        <w:t>.</w:t>
      </w:r>
      <w:proofErr w:type="gramEnd"/>
      <w:r w:rsidR="00160536" w:rsidRPr="00EA11CC">
        <w:rPr>
          <w:rFonts w:ascii="Times New Roman" w:hAnsi="Times New Roman"/>
          <w:sz w:val="22"/>
        </w:rPr>
        <w:t xml:space="preserve"> </w:t>
      </w:r>
      <w:r w:rsidR="009A4608">
        <w:rPr>
          <w:rFonts w:ascii="Times New Roman" w:hAnsi="Times New Roman"/>
          <w:sz w:val="22"/>
        </w:rPr>
        <w:t xml:space="preserve">The following </w:t>
      </w:r>
      <w:r w:rsidR="00BA419A">
        <w:rPr>
          <w:rFonts w:ascii="Times New Roman" w:hAnsi="Times New Roman" w:hint="eastAsia"/>
          <w:sz w:val="22"/>
        </w:rPr>
        <w:t>proposal</w:t>
      </w:r>
      <w:r w:rsidR="009A4608">
        <w:rPr>
          <w:rFonts w:ascii="Times New Roman" w:hAnsi="Times New Roman"/>
          <w:sz w:val="22"/>
        </w:rPr>
        <w:t xml:space="preserve"> are </w:t>
      </w:r>
      <w:r w:rsidR="00BA419A">
        <w:rPr>
          <w:rFonts w:ascii="Times New Roman" w:hAnsi="Times New Roman" w:hint="eastAsia"/>
          <w:sz w:val="22"/>
        </w:rPr>
        <w:t>provided</w:t>
      </w:r>
      <w:r w:rsidR="009A4608">
        <w:rPr>
          <w:rFonts w:ascii="Times New Roman" w:hAnsi="Times New Roman"/>
          <w:sz w:val="22"/>
        </w:rPr>
        <w:t>:</w:t>
      </w:r>
    </w:p>
    <w:p w14:paraId="1D9B2F10" w14:textId="77777777" w:rsidR="00FF680D" w:rsidRPr="00255778" w:rsidRDefault="00FF680D" w:rsidP="00FF680D">
      <w:pPr>
        <w:spacing w:beforeLines="50" w:before="156" w:afterLines="50" w:after="156"/>
        <w:rPr>
          <w:rFonts w:ascii="Times New Roman" w:hAnsi="Times New Roman"/>
          <w:b/>
          <w:bCs/>
          <w:sz w:val="22"/>
        </w:rPr>
      </w:pPr>
      <w:r w:rsidRPr="00255778">
        <w:rPr>
          <w:rFonts w:ascii="Times New Roman" w:hAnsi="Times New Roman"/>
          <w:b/>
          <w:bCs/>
          <w:sz w:val="22"/>
        </w:rPr>
        <w:t xml:space="preserve">Proposal </w:t>
      </w:r>
      <w:r w:rsidRPr="00255778">
        <w:rPr>
          <w:rFonts w:ascii="Times New Roman" w:hAnsi="Times New Roman" w:hint="eastAsia"/>
          <w:b/>
          <w:bCs/>
          <w:sz w:val="22"/>
        </w:rPr>
        <w:t>1</w:t>
      </w:r>
      <w:r w:rsidRPr="00255778">
        <w:rPr>
          <w:rFonts w:ascii="Times New Roman" w:hAnsi="Times New Roman"/>
          <w:b/>
          <w:bCs/>
          <w:sz w:val="22"/>
        </w:rPr>
        <w:t xml:space="preserve">: </w:t>
      </w:r>
      <w:r w:rsidRPr="00255778">
        <w:rPr>
          <w:rFonts w:ascii="Times New Roman" w:hAnsi="Times New Roman" w:hint="eastAsia"/>
          <w:b/>
          <w:bCs/>
          <w:sz w:val="22"/>
        </w:rPr>
        <w:t xml:space="preserve">An </w:t>
      </w:r>
      <w:r w:rsidRPr="00255778">
        <w:rPr>
          <w:rFonts w:ascii="Times New Roman" w:hAnsi="Times New Roman"/>
          <w:b/>
          <w:bCs/>
          <w:sz w:val="22"/>
        </w:rPr>
        <w:t>S&amp;F-capable</w:t>
      </w:r>
      <w:r>
        <w:rPr>
          <w:rFonts w:ascii="Times New Roman" w:hAnsi="Times New Roman" w:hint="eastAsia"/>
          <w:b/>
          <w:bCs/>
          <w:sz w:val="22"/>
        </w:rPr>
        <w:t xml:space="preserve"> UE</w:t>
      </w:r>
      <w:r w:rsidRPr="00255778">
        <w:rPr>
          <w:rFonts w:ascii="Times New Roman" w:hAnsi="Times New Roman" w:hint="eastAsia"/>
          <w:b/>
          <w:bCs/>
          <w:sz w:val="22"/>
        </w:rPr>
        <w:t xml:space="preserve"> </w:t>
      </w:r>
      <w:r w:rsidRPr="00255778">
        <w:rPr>
          <w:rFonts w:ascii="Times New Roman" w:hAnsi="Times New Roman"/>
          <w:b/>
          <w:bCs/>
          <w:sz w:val="22"/>
        </w:rPr>
        <w:t>is not required to trigger neighbour cell measurement for cell reselection before the mode transition time from SF to normal.</w:t>
      </w:r>
    </w:p>
    <w:p w14:paraId="656938CD" w14:textId="77777777" w:rsidR="00FF680D" w:rsidRPr="00537AA5" w:rsidRDefault="00FF680D" w:rsidP="00FF680D">
      <w:pPr>
        <w:spacing w:beforeLines="50" w:before="156" w:afterLines="50" w:after="156"/>
        <w:rPr>
          <w:rFonts w:ascii="Times New Roman" w:hAnsi="Times New Roman"/>
          <w:b/>
          <w:bCs/>
          <w:sz w:val="22"/>
        </w:rPr>
      </w:pPr>
      <w:r w:rsidRPr="00537AA5">
        <w:rPr>
          <w:rFonts w:ascii="Times New Roman" w:hAnsi="Times New Roman"/>
          <w:b/>
          <w:bCs/>
          <w:sz w:val="22"/>
        </w:rPr>
        <w:t xml:space="preserve">Proposal </w:t>
      </w:r>
      <w:r w:rsidRPr="00537AA5">
        <w:rPr>
          <w:rFonts w:ascii="Times New Roman" w:hAnsi="Times New Roman" w:hint="eastAsia"/>
          <w:b/>
          <w:bCs/>
          <w:sz w:val="22"/>
        </w:rPr>
        <w:t>2</w:t>
      </w:r>
      <w:r w:rsidRPr="00537AA5">
        <w:rPr>
          <w:rFonts w:ascii="Times New Roman" w:hAnsi="Times New Roman"/>
          <w:b/>
          <w:bCs/>
          <w:sz w:val="22"/>
        </w:rPr>
        <w:t xml:space="preserve">: S&amp;F-capable UE is not required to trigger neighbour cell measurement for cell reselection before the mode transition time from normal to SF. </w:t>
      </w:r>
    </w:p>
    <w:p w14:paraId="10B4EEF6" w14:textId="77777777" w:rsidR="00FF680D" w:rsidRPr="00537AA5" w:rsidRDefault="00FF680D" w:rsidP="00FF680D">
      <w:pPr>
        <w:spacing w:beforeLines="50" w:before="156" w:afterLines="50" w:after="156"/>
        <w:rPr>
          <w:rFonts w:ascii="Times New Roman" w:hAnsi="Times New Roman"/>
          <w:b/>
          <w:bCs/>
          <w:sz w:val="22"/>
        </w:rPr>
      </w:pPr>
      <w:r w:rsidRPr="00537AA5">
        <w:rPr>
          <w:rFonts w:ascii="Times New Roman" w:hAnsi="Times New Roman"/>
          <w:b/>
          <w:bCs/>
          <w:sz w:val="22"/>
        </w:rPr>
        <w:t xml:space="preserve">Proposal </w:t>
      </w:r>
      <w:r w:rsidRPr="00537AA5">
        <w:rPr>
          <w:rFonts w:ascii="Times New Roman" w:hAnsi="Times New Roman" w:hint="eastAsia"/>
          <w:b/>
          <w:bCs/>
          <w:sz w:val="22"/>
        </w:rPr>
        <w:t>3</w:t>
      </w:r>
      <w:r w:rsidRPr="00537AA5">
        <w:rPr>
          <w:rFonts w:ascii="Times New Roman" w:hAnsi="Times New Roman"/>
          <w:b/>
          <w:bCs/>
          <w:sz w:val="22"/>
        </w:rPr>
        <w:t>: S&amp;F-incapable UE is required to trigger neighbour cell measurement for cell reselection before the mode transition time from normal to SF.</w:t>
      </w:r>
    </w:p>
    <w:p w14:paraId="084008B8" w14:textId="77777777" w:rsidR="00FF680D" w:rsidRPr="00FF680D" w:rsidRDefault="00FF680D" w:rsidP="00FF680D">
      <w:pPr>
        <w:spacing w:beforeLines="50" w:before="156" w:afterLines="50" w:after="156"/>
        <w:rPr>
          <w:rFonts w:ascii="Times New Roman" w:hAnsi="Times New Roman"/>
          <w:b/>
          <w:bCs/>
          <w:sz w:val="22"/>
        </w:rPr>
      </w:pPr>
      <w:r w:rsidRPr="00FF680D">
        <w:rPr>
          <w:rFonts w:ascii="Times New Roman" w:hAnsi="Times New Roman"/>
          <w:b/>
          <w:bCs/>
          <w:sz w:val="22"/>
        </w:rPr>
        <w:t xml:space="preserve">Proposal </w:t>
      </w:r>
      <w:r w:rsidRPr="00FF680D">
        <w:rPr>
          <w:rFonts w:ascii="Times New Roman" w:hAnsi="Times New Roman" w:hint="eastAsia"/>
          <w:b/>
          <w:bCs/>
          <w:sz w:val="22"/>
        </w:rPr>
        <w:t>4</w:t>
      </w:r>
      <w:r w:rsidRPr="00FF680D">
        <w:rPr>
          <w:rFonts w:ascii="Times New Roman" w:hAnsi="Times New Roman"/>
          <w:b/>
          <w:bCs/>
          <w:sz w:val="22"/>
        </w:rPr>
        <w:t>: Confirm the</w:t>
      </w:r>
      <w:r w:rsidRPr="00FF680D">
        <w:rPr>
          <w:rFonts w:ascii="Times New Roman" w:hAnsi="Times New Roman" w:hint="eastAsia"/>
          <w:b/>
          <w:bCs/>
          <w:sz w:val="22"/>
        </w:rPr>
        <w:t xml:space="preserve"> following part of the previous</w:t>
      </w:r>
      <w:r w:rsidRPr="00FF680D">
        <w:rPr>
          <w:rFonts w:ascii="Times New Roman" w:hAnsi="Times New Roman"/>
          <w:b/>
          <w:bCs/>
          <w:sz w:val="22"/>
        </w:rPr>
        <w:t xml:space="preserve"> Working Assumption</w:t>
      </w:r>
      <w:r w:rsidRPr="00FF680D">
        <w:rPr>
          <w:rFonts w:ascii="Times New Roman" w:hAnsi="Times New Roman" w:hint="eastAsia"/>
          <w:b/>
          <w:bCs/>
          <w:sz w:val="22"/>
        </w:rPr>
        <w:t xml:space="preserve"> </w:t>
      </w:r>
      <w:r w:rsidRPr="00FF680D">
        <w:rPr>
          <w:rFonts w:ascii="Times New Roman" w:hAnsi="Times New Roman"/>
          <w:b/>
          <w:bCs/>
          <w:sz w:val="22"/>
        </w:rPr>
        <w:t>“In the neighbour cell list we introduce an indication whether the cell operates in S&amp;F mode or not”</w:t>
      </w:r>
      <w:r w:rsidRPr="00FF680D">
        <w:rPr>
          <w:rFonts w:ascii="Times New Roman" w:hAnsi="Times New Roman" w:hint="eastAsia"/>
          <w:b/>
          <w:bCs/>
          <w:sz w:val="22"/>
        </w:rPr>
        <w:t>.</w:t>
      </w:r>
    </w:p>
    <w:p w14:paraId="1B9B3AE9" w14:textId="77777777" w:rsidR="00FF680D" w:rsidRPr="00FF680D" w:rsidRDefault="00FF680D" w:rsidP="00FF680D">
      <w:pPr>
        <w:spacing w:beforeLines="50" w:before="156" w:afterLines="50" w:after="156"/>
        <w:rPr>
          <w:rFonts w:ascii="Times New Roman" w:hAnsi="Times New Roman"/>
          <w:b/>
          <w:bCs/>
          <w:sz w:val="22"/>
        </w:rPr>
      </w:pPr>
      <w:r w:rsidRPr="00FF680D">
        <w:rPr>
          <w:rFonts w:ascii="Times New Roman" w:hAnsi="Times New Roman"/>
          <w:b/>
          <w:bCs/>
          <w:sz w:val="22"/>
        </w:rPr>
        <w:t xml:space="preserve">Proposal </w:t>
      </w:r>
      <w:r w:rsidRPr="00FF680D">
        <w:rPr>
          <w:rFonts w:ascii="Times New Roman" w:hAnsi="Times New Roman" w:hint="eastAsia"/>
          <w:b/>
          <w:bCs/>
          <w:sz w:val="22"/>
        </w:rPr>
        <w:t>5</w:t>
      </w:r>
      <w:r w:rsidRPr="00FF680D">
        <w:rPr>
          <w:rFonts w:ascii="Times New Roman" w:hAnsi="Times New Roman"/>
          <w:b/>
          <w:bCs/>
          <w:sz w:val="22"/>
        </w:rPr>
        <w:t>: S&amp;F-incapable UE can deprioritize the frequency of a neighbour cell operating in SF mode for cell reselection.</w:t>
      </w:r>
    </w:p>
    <w:p w14:paraId="18478002" w14:textId="1B41F2E4" w:rsidR="005C389C" w:rsidRPr="00FF680D" w:rsidRDefault="00FF680D" w:rsidP="00FF680D">
      <w:pPr>
        <w:spacing w:beforeLines="50" w:before="156" w:afterLines="50" w:after="156"/>
        <w:rPr>
          <w:rFonts w:ascii="Times New Roman" w:hAnsi="Times New Roman"/>
          <w:b/>
          <w:bCs/>
          <w:sz w:val="22"/>
        </w:rPr>
      </w:pPr>
      <w:r w:rsidRPr="00FF680D">
        <w:rPr>
          <w:rFonts w:ascii="Times New Roman" w:hAnsi="Times New Roman" w:hint="eastAsia"/>
          <w:b/>
          <w:bCs/>
          <w:sz w:val="22"/>
        </w:rPr>
        <w:t xml:space="preserve">Proposal 6: </w:t>
      </w:r>
      <w:r w:rsidRPr="00FF680D">
        <w:rPr>
          <w:rFonts w:ascii="Times New Roman" w:hAnsi="Times New Roman"/>
          <w:b/>
          <w:bCs/>
          <w:sz w:val="22"/>
        </w:rPr>
        <w:t>Confirm the</w:t>
      </w:r>
      <w:r w:rsidRPr="00FF680D">
        <w:rPr>
          <w:rFonts w:ascii="Times New Roman" w:hAnsi="Times New Roman" w:hint="eastAsia"/>
          <w:b/>
          <w:bCs/>
          <w:sz w:val="22"/>
        </w:rPr>
        <w:t xml:space="preserve"> FFS part of the previous</w:t>
      </w:r>
      <w:r w:rsidRPr="00FF680D">
        <w:rPr>
          <w:rFonts w:ascii="Times New Roman" w:hAnsi="Times New Roman"/>
          <w:b/>
          <w:bCs/>
          <w:sz w:val="22"/>
        </w:rPr>
        <w:t xml:space="preserve"> Working Assumption</w:t>
      </w:r>
      <w:r w:rsidRPr="00FF680D">
        <w:rPr>
          <w:rFonts w:ascii="Times New Roman" w:hAnsi="Times New Roman" w:hint="eastAsia"/>
          <w:b/>
          <w:bCs/>
          <w:sz w:val="22"/>
        </w:rPr>
        <w:t>, e.g. i</w:t>
      </w:r>
      <w:r w:rsidRPr="00FF680D">
        <w:rPr>
          <w:rFonts w:ascii="Times New Roman" w:hAnsi="Times New Roman"/>
          <w:b/>
          <w:bCs/>
          <w:sz w:val="22"/>
        </w:rPr>
        <w:t xml:space="preserve">n the neighbour cell list we introduce </w:t>
      </w:r>
      <w:r w:rsidRPr="00FF680D">
        <w:rPr>
          <w:rFonts w:ascii="Times New Roman" w:hAnsi="Times New Roman" w:hint="eastAsia"/>
          <w:b/>
          <w:bCs/>
          <w:sz w:val="22"/>
        </w:rPr>
        <w:t>the mode transition time information of</w:t>
      </w:r>
      <w:r w:rsidRPr="00FF680D">
        <w:rPr>
          <w:rFonts w:ascii="Times New Roman" w:hAnsi="Times New Roman"/>
          <w:b/>
          <w:bCs/>
          <w:sz w:val="22"/>
        </w:rPr>
        <w:t xml:space="preserve"> the cell</w:t>
      </w:r>
      <w:r w:rsidRPr="00FF680D">
        <w:rPr>
          <w:rFonts w:ascii="Times New Roman" w:hAnsi="Times New Roman" w:hint="eastAsia"/>
          <w:b/>
          <w:bCs/>
          <w:sz w:val="22"/>
        </w:rPr>
        <w:t>.</w:t>
      </w:r>
      <w:r>
        <w:rPr>
          <w:rFonts w:ascii="Times New Roman" w:hAnsi="Times New Roman" w:hint="eastAsia"/>
          <w:b/>
          <w:bCs/>
          <w:sz w:val="22"/>
        </w:rPr>
        <w:t xml:space="preserve"> How to use such information is up to UE implementation.</w:t>
      </w:r>
    </w:p>
    <w:sectPr w:rsidR="005C389C" w:rsidRPr="00FF680D"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64C86" w14:textId="77777777" w:rsidR="0090419B" w:rsidRDefault="0090419B">
      <w:r>
        <w:separator/>
      </w:r>
    </w:p>
  </w:endnote>
  <w:endnote w:type="continuationSeparator" w:id="0">
    <w:p w14:paraId="0C50BEC2" w14:textId="77777777" w:rsidR="0090419B" w:rsidRDefault="00904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4B4B1" w14:textId="77777777" w:rsidR="0090419B" w:rsidRDefault="0090419B">
      <w:r>
        <w:separator/>
      </w:r>
    </w:p>
  </w:footnote>
  <w:footnote w:type="continuationSeparator" w:id="0">
    <w:p w14:paraId="039C1499" w14:textId="77777777" w:rsidR="0090419B" w:rsidRDefault="009041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333F0"/>
    <w:multiLevelType w:val="hybridMultilevel"/>
    <w:tmpl w:val="599C111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3A340B2"/>
    <w:multiLevelType w:val="hybridMultilevel"/>
    <w:tmpl w:val="926221D6"/>
    <w:lvl w:ilvl="0" w:tplc="FFFFFFFF">
      <w:start w:val="1"/>
      <w:numFmt w:val="decimal"/>
      <w:lvlText w:val="%1."/>
      <w:lvlJc w:val="left"/>
      <w:pPr>
        <w:ind w:left="440" w:hanging="440"/>
      </w:pPr>
    </w:lvl>
    <w:lvl w:ilvl="1" w:tplc="0409000F">
      <w:start w:val="1"/>
      <w:numFmt w:val="decimal"/>
      <w:lvlText w:val="%2."/>
      <w:lvlJc w:val="left"/>
      <w:pPr>
        <w:ind w:left="44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5C7870"/>
    <w:multiLevelType w:val="hybridMultilevel"/>
    <w:tmpl w:val="5ACEE2E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117096"/>
    <w:multiLevelType w:val="hybridMultilevel"/>
    <w:tmpl w:val="F9EC5FFA"/>
    <w:lvl w:ilvl="0" w:tplc="B72C9BEE">
      <w:start w:val="8"/>
      <w:numFmt w:val="bullet"/>
      <w:lvlText w:val="-"/>
      <w:lvlJc w:val="left"/>
      <w:pPr>
        <w:ind w:left="440" w:hanging="440"/>
      </w:pPr>
      <w:rPr>
        <w:rFonts w:ascii="Calibri" w:eastAsiaTheme="minorEastAsia"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70C4F40"/>
    <w:multiLevelType w:val="hybridMultilevel"/>
    <w:tmpl w:val="28966A9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B333CEB"/>
    <w:multiLevelType w:val="hybridMultilevel"/>
    <w:tmpl w:val="A3CC3DB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E3E688B"/>
    <w:multiLevelType w:val="hybridMultilevel"/>
    <w:tmpl w:val="BA6A18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EA37945"/>
    <w:multiLevelType w:val="hybridMultilevel"/>
    <w:tmpl w:val="27A42C2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4FC6526"/>
    <w:multiLevelType w:val="hybridMultilevel"/>
    <w:tmpl w:val="6456951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5A9537D"/>
    <w:multiLevelType w:val="hybridMultilevel"/>
    <w:tmpl w:val="09AA1548"/>
    <w:lvl w:ilvl="0" w:tplc="91F02870">
      <w:start w:val="2024"/>
      <w:numFmt w:val="bullet"/>
      <w:lvlText w:val="-"/>
      <w:lvlJc w:val="left"/>
      <w:pPr>
        <w:ind w:left="440" w:hanging="440"/>
      </w:pPr>
      <w:rPr>
        <w:rFonts w:ascii="Arial" w:eastAsia="MS Mincho"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374C0B70"/>
    <w:multiLevelType w:val="hybridMultilevel"/>
    <w:tmpl w:val="EF3A0A4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D1F1692"/>
    <w:multiLevelType w:val="hybridMultilevel"/>
    <w:tmpl w:val="10F263A2"/>
    <w:lvl w:ilvl="0" w:tplc="0409000B">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40EA13A8"/>
    <w:multiLevelType w:val="hybridMultilevel"/>
    <w:tmpl w:val="9ABEFDF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79D08C3"/>
    <w:multiLevelType w:val="hybridMultilevel"/>
    <w:tmpl w:val="BB5AE810"/>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A584957"/>
    <w:multiLevelType w:val="hybridMultilevel"/>
    <w:tmpl w:val="B726CE6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50BF7776"/>
    <w:multiLevelType w:val="hybridMultilevel"/>
    <w:tmpl w:val="9D0206F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4" w15:restartNumberingAfterBreak="0">
    <w:nsid w:val="55364DF7"/>
    <w:multiLevelType w:val="hybridMultilevel"/>
    <w:tmpl w:val="A2226DF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A4D7665"/>
    <w:multiLevelType w:val="hybridMultilevel"/>
    <w:tmpl w:val="9E665E5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0FD5766"/>
    <w:multiLevelType w:val="hybridMultilevel"/>
    <w:tmpl w:val="4DF87C68"/>
    <w:lvl w:ilvl="0" w:tplc="FFFFFFFF">
      <w:start w:val="1"/>
      <w:numFmt w:val="decimal"/>
      <w:lvlText w:val="%1."/>
      <w:lvlJc w:val="left"/>
      <w:pPr>
        <w:ind w:left="440" w:hanging="440"/>
      </w:pPr>
    </w:lvl>
    <w:lvl w:ilvl="1" w:tplc="1E249FA8">
      <w:start w:val="1"/>
      <w:numFmt w:val="decimal"/>
      <w:lvlText w:val="%2."/>
      <w:lvlJc w:val="left"/>
      <w:pPr>
        <w:ind w:left="880" w:hanging="440"/>
      </w:pPr>
      <w:rPr>
        <w:rFonts w:hint="eastAsia"/>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0" w15:restartNumberingAfterBreak="0">
    <w:nsid w:val="77E26E08"/>
    <w:multiLevelType w:val="hybridMultilevel"/>
    <w:tmpl w:val="F000C21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4"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43"/>
  </w:num>
  <w:num w:numId="2" w16cid:durableId="1984658315">
    <w:abstractNumId w:val="4"/>
  </w:num>
  <w:num w:numId="3" w16cid:durableId="722876610">
    <w:abstractNumId w:val="48"/>
  </w:num>
  <w:num w:numId="4" w16cid:durableId="859195836">
    <w:abstractNumId w:val="47"/>
  </w:num>
  <w:num w:numId="5" w16cid:durableId="220140937">
    <w:abstractNumId w:val="19"/>
  </w:num>
  <w:num w:numId="6" w16cid:durableId="1734040883">
    <w:abstractNumId w:val="42"/>
  </w:num>
  <w:num w:numId="7" w16cid:durableId="2045521902">
    <w:abstractNumId w:val="9"/>
  </w:num>
  <w:num w:numId="8" w16cid:durableId="163935166">
    <w:abstractNumId w:val="25"/>
  </w:num>
  <w:num w:numId="9" w16cid:durableId="1679574324">
    <w:abstractNumId w:val="8"/>
  </w:num>
  <w:num w:numId="10" w16cid:durableId="75370074">
    <w:abstractNumId w:val="27"/>
  </w:num>
  <w:num w:numId="11" w16cid:durableId="1796754296">
    <w:abstractNumId w:val="5"/>
  </w:num>
  <w:num w:numId="12" w16cid:durableId="384646512">
    <w:abstractNumId w:val="24"/>
  </w:num>
  <w:num w:numId="13" w16cid:durableId="1573813467">
    <w:abstractNumId w:val="34"/>
  </w:num>
  <w:num w:numId="14" w16cid:durableId="1493519478">
    <w:abstractNumId w:val="11"/>
  </w:num>
  <w:num w:numId="15" w16cid:durableId="127743599">
    <w:abstractNumId w:val="52"/>
  </w:num>
  <w:num w:numId="16" w16cid:durableId="1895191140">
    <w:abstractNumId w:val="53"/>
  </w:num>
  <w:num w:numId="17" w16cid:durableId="828903070">
    <w:abstractNumId w:val="3"/>
  </w:num>
  <w:num w:numId="18" w16cid:durableId="1821799038">
    <w:abstractNumId w:val="15"/>
  </w:num>
  <w:num w:numId="19" w16cid:durableId="985160454">
    <w:abstractNumId w:val="31"/>
  </w:num>
  <w:num w:numId="20" w16cid:durableId="1390036946">
    <w:abstractNumId w:val="2"/>
  </w:num>
  <w:num w:numId="21" w16cid:durableId="381757924">
    <w:abstractNumId w:val="39"/>
  </w:num>
  <w:num w:numId="22" w16cid:durableId="1834640208">
    <w:abstractNumId w:val="6"/>
  </w:num>
  <w:num w:numId="23" w16cid:durableId="303239897">
    <w:abstractNumId w:val="23"/>
  </w:num>
  <w:num w:numId="24" w16cid:durableId="1178815800">
    <w:abstractNumId w:val="18"/>
  </w:num>
  <w:num w:numId="25" w16cid:durableId="1387993154">
    <w:abstractNumId w:val="38"/>
  </w:num>
  <w:num w:numId="26" w16cid:durableId="940138824">
    <w:abstractNumId w:val="40"/>
  </w:num>
  <w:num w:numId="27" w16cid:durableId="871189877">
    <w:abstractNumId w:val="36"/>
  </w:num>
  <w:num w:numId="28" w16cid:durableId="418596070">
    <w:abstractNumId w:val="54"/>
  </w:num>
  <w:num w:numId="29" w16cid:durableId="1149438441">
    <w:abstractNumId w:val="28"/>
  </w:num>
  <w:num w:numId="30" w16cid:durableId="1023165204">
    <w:abstractNumId w:val="51"/>
  </w:num>
  <w:num w:numId="31" w16cid:durableId="730009029">
    <w:abstractNumId w:val="22"/>
  </w:num>
  <w:num w:numId="32" w16cid:durableId="2073652555">
    <w:abstractNumId w:val="20"/>
  </w:num>
  <w:num w:numId="33" w16cid:durableId="483818738">
    <w:abstractNumId w:val="21"/>
  </w:num>
  <w:num w:numId="34" w16cid:durableId="131290464">
    <w:abstractNumId w:val="13"/>
  </w:num>
  <w:num w:numId="35" w16cid:durableId="95028661">
    <w:abstractNumId w:val="45"/>
  </w:num>
  <w:num w:numId="36" w16cid:durableId="1685277302">
    <w:abstractNumId w:val="44"/>
  </w:num>
  <w:num w:numId="37" w16cid:durableId="1056201746">
    <w:abstractNumId w:val="46"/>
  </w:num>
  <w:num w:numId="38" w16cid:durableId="320888914">
    <w:abstractNumId w:val="0"/>
  </w:num>
  <w:num w:numId="39" w16cid:durableId="973947978">
    <w:abstractNumId w:val="7"/>
  </w:num>
  <w:num w:numId="40" w16cid:durableId="481851905">
    <w:abstractNumId w:val="32"/>
  </w:num>
  <w:num w:numId="41" w16cid:durableId="35131783">
    <w:abstractNumId w:val="16"/>
  </w:num>
  <w:num w:numId="42" w16cid:durableId="996225891">
    <w:abstractNumId w:val="10"/>
  </w:num>
  <w:num w:numId="43" w16cid:durableId="1772119684">
    <w:abstractNumId w:val="17"/>
  </w:num>
  <w:num w:numId="44" w16cid:durableId="27949030">
    <w:abstractNumId w:val="50"/>
  </w:num>
  <w:num w:numId="45" w16cid:durableId="851649167">
    <w:abstractNumId w:val="29"/>
  </w:num>
  <w:num w:numId="46" w16cid:durableId="970402239">
    <w:abstractNumId w:val="35"/>
  </w:num>
  <w:num w:numId="47" w16cid:durableId="580914988">
    <w:abstractNumId w:val="1"/>
  </w:num>
  <w:num w:numId="48" w16cid:durableId="431779794">
    <w:abstractNumId w:val="12"/>
  </w:num>
  <w:num w:numId="49" w16cid:durableId="1889295877">
    <w:abstractNumId w:val="30"/>
  </w:num>
  <w:num w:numId="50" w16cid:durableId="1959292109">
    <w:abstractNumId w:val="37"/>
  </w:num>
  <w:num w:numId="51" w16cid:durableId="268391207">
    <w:abstractNumId w:val="41"/>
  </w:num>
  <w:num w:numId="52" w16cid:durableId="104079376">
    <w:abstractNumId w:val="33"/>
  </w:num>
  <w:num w:numId="53" w16cid:durableId="1505126443">
    <w:abstractNumId w:val="1"/>
    <w:lvlOverride w:ilvl="0">
      <w:lvl w:ilvl="0" w:tplc="FFFFFFFF">
        <w:start w:val="1"/>
        <w:numFmt w:val="decimal"/>
        <w:lvlText w:val="%1."/>
        <w:lvlJc w:val="left"/>
        <w:pPr>
          <w:ind w:left="440" w:hanging="440"/>
        </w:pPr>
        <w:rPr>
          <w:rFonts w:hint="eastAsia"/>
        </w:rPr>
      </w:lvl>
    </w:lvlOverride>
    <w:lvlOverride w:ilvl="1">
      <w:lvl w:ilvl="1" w:tplc="0409000F">
        <w:start w:val="1"/>
        <w:numFmt w:val="lowerLetter"/>
        <w:lvlText w:val="%2)"/>
        <w:lvlJc w:val="left"/>
        <w:pPr>
          <w:ind w:left="880" w:hanging="440"/>
        </w:pPr>
      </w:lvl>
    </w:lvlOverride>
    <w:lvlOverride w:ilvl="2">
      <w:lvl w:ilvl="2" w:tplc="FFFFFFFF" w:tentative="1">
        <w:start w:val="1"/>
        <w:numFmt w:val="lowerRoman"/>
        <w:lvlText w:val="%3."/>
        <w:lvlJc w:val="right"/>
        <w:pPr>
          <w:ind w:left="1320" w:hanging="440"/>
        </w:pPr>
      </w:lvl>
    </w:lvlOverride>
    <w:lvlOverride w:ilvl="3">
      <w:lvl w:ilvl="3" w:tplc="FFFFFFFF" w:tentative="1">
        <w:start w:val="1"/>
        <w:numFmt w:val="decimal"/>
        <w:lvlText w:val="%4."/>
        <w:lvlJc w:val="left"/>
        <w:pPr>
          <w:ind w:left="1760" w:hanging="440"/>
        </w:pPr>
      </w:lvl>
    </w:lvlOverride>
    <w:lvlOverride w:ilvl="4">
      <w:lvl w:ilvl="4" w:tplc="FFFFFFFF" w:tentative="1">
        <w:start w:val="1"/>
        <w:numFmt w:val="lowerLetter"/>
        <w:lvlText w:val="%5)"/>
        <w:lvlJc w:val="left"/>
        <w:pPr>
          <w:ind w:left="2200" w:hanging="440"/>
        </w:pPr>
      </w:lvl>
    </w:lvlOverride>
    <w:lvlOverride w:ilvl="5">
      <w:lvl w:ilvl="5" w:tplc="FFFFFFFF" w:tentative="1">
        <w:start w:val="1"/>
        <w:numFmt w:val="lowerRoman"/>
        <w:lvlText w:val="%6."/>
        <w:lvlJc w:val="right"/>
        <w:pPr>
          <w:ind w:left="2640" w:hanging="440"/>
        </w:pPr>
      </w:lvl>
    </w:lvlOverride>
    <w:lvlOverride w:ilvl="6">
      <w:lvl w:ilvl="6" w:tplc="FFFFFFFF" w:tentative="1">
        <w:start w:val="1"/>
        <w:numFmt w:val="decimal"/>
        <w:lvlText w:val="%7."/>
        <w:lvlJc w:val="left"/>
        <w:pPr>
          <w:ind w:left="3080" w:hanging="440"/>
        </w:pPr>
      </w:lvl>
    </w:lvlOverride>
    <w:lvlOverride w:ilvl="7">
      <w:lvl w:ilvl="7" w:tplc="FFFFFFFF" w:tentative="1">
        <w:start w:val="1"/>
        <w:numFmt w:val="lowerLetter"/>
        <w:lvlText w:val="%8)"/>
        <w:lvlJc w:val="left"/>
        <w:pPr>
          <w:ind w:left="3520" w:hanging="440"/>
        </w:pPr>
      </w:lvl>
    </w:lvlOverride>
    <w:lvlOverride w:ilvl="8">
      <w:lvl w:ilvl="8" w:tplc="FFFFFFFF" w:tentative="1">
        <w:start w:val="1"/>
        <w:numFmt w:val="lowerRoman"/>
        <w:lvlText w:val="%9."/>
        <w:lvlJc w:val="right"/>
        <w:pPr>
          <w:ind w:left="3960" w:hanging="440"/>
        </w:pPr>
      </w:lvl>
    </w:lvlOverride>
  </w:num>
  <w:num w:numId="54" w16cid:durableId="878053236">
    <w:abstractNumId w:val="49"/>
  </w:num>
  <w:num w:numId="55" w16cid:durableId="17048002">
    <w:abstractNumId w:val="26"/>
  </w:num>
  <w:num w:numId="56" w16cid:durableId="137738763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2EC9"/>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71A"/>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E5D"/>
    <w:rsid w:val="00055F39"/>
    <w:rsid w:val="000561DC"/>
    <w:rsid w:val="00056379"/>
    <w:rsid w:val="00056C52"/>
    <w:rsid w:val="000570F6"/>
    <w:rsid w:val="000578B0"/>
    <w:rsid w:val="00060C01"/>
    <w:rsid w:val="00061878"/>
    <w:rsid w:val="0006235F"/>
    <w:rsid w:val="0006328A"/>
    <w:rsid w:val="0006426A"/>
    <w:rsid w:val="0006426B"/>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011"/>
    <w:rsid w:val="000A6742"/>
    <w:rsid w:val="000A67DB"/>
    <w:rsid w:val="000A6A15"/>
    <w:rsid w:val="000A7529"/>
    <w:rsid w:val="000A7600"/>
    <w:rsid w:val="000A7A89"/>
    <w:rsid w:val="000A7D1E"/>
    <w:rsid w:val="000B001C"/>
    <w:rsid w:val="000B0B59"/>
    <w:rsid w:val="000B0F68"/>
    <w:rsid w:val="000B1340"/>
    <w:rsid w:val="000B18B4"/>
    <w:rsid w:val="000B1F84"/>
    <w:rsid w:val="000B2D00"/>
    <w:rsid w:val="000B2D37"/>
    <w:rsid w:val="000B3378"/>
    <w:rsid w:val="000B3B4E"/>
    <w:rsid w:val="000B3E20"/>
    <w:rsid w:val="000B5102"/>
    <w:rsid w:val="000B5713"/>
    <w:rsid w:val="000B5A40"/>
    <w:rsid w:val="000B6828"/>
    <w:rsid w:val="000B698C"/>
    <w:rsid w:val="000B6AD1"/>
    <w:rsid w:val="000C00E2"/>
    <w:rsid w:val="000C01F4"/>
    <w:rsid w:val="000C02E3"/>
    <w:rsid w:val="000C0A40"/>
    <w:rsid w:val="000C0D96"/>
    <w:rsid w:val="000C116A"/>
    <w:rsid w:val="000C120B"/>
    <w:rsid w:val="000C13A2"/>
    <w:rsid w:val="000C1630"/>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3"/>
    <w:rsid w:val="000C7CA4"/>
    <w:rsid w:val="000D0B3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23E"/>
    <w:rsid w:val="000D5F1C"/>
    <w:rsid w:val="000D622F"/>
    <w:rsid w:val="000D63D5"/>
    <w:rsid w:val="000D64E1"/>
    <w:rsid w:val="000D72B8"/>
    <w:rsid w:val="000D7D5A"/>
    <w:rsid w:val="000E0734"/>
    <w:rsid w:val="000E075B"/>
    <w:rsid w:val="000E0B30"/>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7C3"/>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9AA"/>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16E"/>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4D1"/>
    <w:rsid w:val="002005D5"/>
    <w:rsid w:val="00200A6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3D1"/>
    <w:rsid w:val="00244835"/>
    <w:rsid w:val="002448BE"/>
    <w:rsid w:val="00244FEE"/>
    <w:rsid w:val="00245998"/>
    <w:rsid w:val="002507B7"/>
    <w:rsid w:val="00250DE6"/>
    <w:rsid w:val="00250F12"/>
    <w:rsid w:val="00250F57"/>
    <w:rsid w:val="00251344"/>
    <w:rsid w:val="00251C85"/>
    <w:rsid w:val="00252054"/>
    <w:rsid w:val="00253964"/>
    <w:rsid w:val="00254C0B"/>
    <w:rsid w:val="00254C89"/>
    <w:rsid w:val="00254D8F"/>
    <w:rsid w:val="00254E74"/>
    <w:rsid w:val="00255778"/>
    <w:rsid w:val="00256359"/>
    <w:rsid w:val="00256512"/>
    <w:rsid w:val="002565FE"/>
    <w:rsid w:val="00256647"/>
    <w:rsid w:val="00257049"/>
    <w:rsid w:val="00257B29"/>
    <w:rsid w:val="002606AB"/>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15"/>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350"/>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B7615"/>
    <w:rsid w:val="002C0192"/>
    <w:rsid w:val="002C037F"/>
    <w:rsid w:val="002C06C3"/>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2B2"/>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839"/>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5B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1DED"/>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A1"/>
    <w:rsid w:val="00346CE3"/>
    <w:rsid w:val="00346DDF"/>
    <w:rsid w:val="00347687"/>
    <w:rsid w:val="003509D5"/>
    <w:rsid w:val="00350C4F"/>
    <w:rsid w:val="00350F0A"/>
    <w:rsid w:val="00351AF3"/>
    <w:rsid w:val="00352186"/>
    <w:rsid w:val="00352CAA"/>
    <w:rsid w:val="00353C50"/>
    <w:rsid w:val="00353C97"/>
    <w:rsid w:val="00353D89"/>
    <w:rsid w:val="00353EAF"/>
    <w:rsid w:val="00353F0C"/>
    <w:rsid w:val="003545E6"/>
    <w:rsid w:val="0035525B"/>
    <w:rsid w:val="00355E25"/>
    <w:rsid w:val="00356B41"/>
    <w:rsid w:val="00356BA2"/>
    <w:rsid w:val="00357417"/>
    <w:rsid w:val="00357D5B"/>
    <w:rsid w:val="003601EB"/>
    <w:rsid w:val="00360CF3"/>
    <w:rsid w:val="003612B3"/>
    <w:rsid w:val="003621DA"/>
    <w:rsid w:val="003624F8"/>
    <w:rsid w:val="003627CD"/>
    <w:rsid w:val="003632FF"/>
    <w:rsid w:val="00363B83"/>
    <w:rsid w:val="00364561"/>
    <w:rsid w:val="00364853"/>
    <w:rsid w:val="00364F6D"/>
    <w:rsid w:val="003658A9"/>
    <w:rsid w:val="00366286"/>
    <w:rsid w:val="00366799"/>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5C72"/>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38B"/>
    <w:rsid w:val="00387A0A"/>
    <w:rsid w:val="00387E52"/>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66"/>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635"/>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15E"/>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0AAE"/>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CC9"/>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18"/>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7E2"/>
    <w:rsid w:val="00496873"/>
    <w:rsid w:val="00496B44"/>
    <w:rsid w:val="00497593"/>
    <w:rsid w:val="00497C60"/>
    <w:rsid w:val="004A0520"/>
    <w:rsid w:val="004A09DD"/>
    <w:rsid w:val="004A0A1C"/>
    <w:rsid w:val="004A0F0C"/>
    <w:rsid w:val="004A126A"/>
    <w:rsid w:val="004A20C5"/>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3CC"/>
    <w:rsid w:val="004B283C"/>
    <w:rsid w:val="004B2EC0"/>
    <w:rsid w:val="004B4837"/>
    <w:rsid w:val="004B5679"/>
    <w:rsid w:val="004B6419"/>
    <w:rsid w:val="004B65BA"/>
    <w:rsid w:val="004B6B57"/>
    <w:rsid w:val="004B6C2D"/>
    <w:rsid w:val="004B704F"/>
    <w:rsid w:val="004C060B"/>
    <w:rsid w:val="004C0736"/>
    <w:rsid w:val="004C09A7"/>
    <w:rsid w:val="004C1134"/>
    <w:rsid w:val="004C15D9"/>
    <w:rsid w:val="004C25AF"/>
    <w:rsid w:val="004C2728"/>
    <w:rsid w:val="004C337B"/>
    <w:rsid w:val="004C38D7"/>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0ED9"/>
    <w:rsid w:val="004E1E7E"/>
    <w:rsid w:val="004E1EF5"/>
    <w:rsid w:val="004E224C"/>
    <w:rsid w:val="004E2B68"/>
    <w:rsid w:val="004E2B6C"/>
    <w:rsid w:val="004E2E9C"/>
    <w:rsid w:val="004E30F0"/>
    <w:rsid w:val="004E33C5"/>
    <w:rsid w:val="004E4506"/>
    <w:rsid w:val="004E48D1"/>
    <w:rsid w:val="004E49BF"/>
    <w:rsid w:val="004E529C"/>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08"/>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7C9"/>
    <w:rsid w:val="004F7A9D"/>
    <w:rsid w:val="004F7E27"/>
    <w:rsid w:val="00500001"/>
    <w:rsid w:val="00500093"/>
    <w:rsid w:val="00500398"/>
    <w:rsid w:val="005004F5"/>
    <w:rsid w:val="00500BF9"/>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4D6"/>
    <w:rsid w:val="00532568"/>
    <w:rsid w:val="005329C7"/>
    <w:rsid w:val="005333B6"/>
    <w:rsid w:val="00533D8E"/>
    <w:rsid w:val="00534A20"/>
    <w:rsid w:val="0053535E"/>
    <w:rsid w:val="00536226"/>
    <w:rsid w:val="0053678B"/>
    <w:rsid w:val="005369F6"/>
    <w:rsid w:val="00537378"/>
    <w:rsid w:val="0053744A"/>
    <w:rsid w:val="005377CD"/>
    <w:rsid w:val="00537AA5"/>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1D18"/>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823"/>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7CE"/>
    <w:rsid w:val="005E39D8"/>
    <w:rsid w:val="005E5091"/>
    <w:rsid w:val="005E5389"/>
    <w:rsid w:val="005E594F"/>
    <w:rsid w:val="005E639B"/>
    <w:rsid w:val="005E722E"/>
    <w:rsid w:val="005E761E"/>
    <w:rsid w:val="005F059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0F"/>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0C9F"/>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D1D"/>
    <w:rsid w:val="00653EBF"/>
    <w:rsid w:val="00654E97"/>
    <w:rsid w:val="00655D01"/>
    <w:rsid w:val="006573D3"/>
    <w:rsid w:val="00657B14"/>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877D8"/>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D58"/>
    <w:rsid w:val="00694F94"/>
    <w:rsid w:val="006954CA"/>
    <w:rsid w:val="006954F9"/>
    <w:rsid w:val="00695DB1"/>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AF0"/>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20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6E3"/>
    <w:rsid w:val="006E6740"/>
    <w:rsid w:val="006E69A3"/>
    <w:rsid w:val="006E6D8E"/>
    <w:rsid w:val="006E723D"/>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3EBA"/>
    <w:rsid w:val="00705102"/>
    <w:rsid w:val="00705A34"/>
    <w:rsid w:val="00705FA8"/>
    <w:rsid w:val="007069C1"/>
    <w:rsid w:val="00706CF8"/>
    <w:rsid w:val="007074FF"/>
    <w:rsid w:val="00707AA3"/>
    <w:rsid w:val="007107E0"/>
    <w:rsid w:val="00710916"/>
    <w:rsid w:val="00710A01"/>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1B04"/>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4A9"/>
    <w:rsid w:val="0078276E"/>
    <w:rsid w:val="00783049"/>
    <w:rsid w:val="00783867"/>
    <w:rsid w:val="0078386D"/>
    <w:rsid w:val="00784017"/>
    <w:rsid w:val="0078427E"/>
    <w:rsid w:val="00784E84"/>
    <w:rsid w:val="0078509D"/>
    <w:rsid w:val="00785699"/>
    <w:rsid w:val="007866C8"/>
    <w:rsid w:val="007866D4"/>
    <w:rsid w:val="0078710D"/>
    <w:rsid w:val="00787398"/>
    <w:rsid w:val="007873FC"/>
    <w:rsid w:val="0078778D"/>
    <w:rsid w:val="00787B75"/>
    <w:rsid w:val="00787B99"/>
    <w:rsid w:val="007900EC"/>
    <w:rsid w:val="0079068B"/>
    <w:rsid w:val="0079078A"/>
    <w:rsid w:val="007910C9"/>
    <w:rsid w:val="0079195A"/>
    <w:rsid w:val="00792392"/>
    <w:rsid w:val="00792943"/>
    <w:rsid w:val="007929E8"/>
    <w:rsid w:val="00792D37"/>
    <w:rsid w:val="00792EC6"/>
    <w:rsid w:val="007933EC"/>
    <w:rsid w:val="007937BA"/>
    <w:rsid w:val="00793917"/>
    <w:rsid w:val="00793D4E"/>
    <w:rsid w:val="0079472E"/>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69D4"/>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1FA6"/>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CB6"/>
    <w:rsid w:val="007D2D70"/>
    <w:rsid w:val="007D2FF5"/>
    <w:rsid w:val="007D37E3"/>
    <w:rsid w:val="007D3E74"/>
    <w:rsid w:val="007D3EE1"/>
    <w:rsid w:val="007D49AD"/>
    <w:rsid w:val="007D4B89"/>
    <w:rsid w:val="007D4F76"/>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4937"/>
    <w:rsid w:val="008055CE"/>
    <w:rsid w:val="00805C31"/>
    <w:rsid w:val="00806D0F"/>
    <w:rsid w:val="00806FDD"/>
    <w:rsid w:val="0080775C"/>
    <w:rsid w:val="00807D76"/>
    <w:rsid w:val="00811032"/>
    <w:rsid w:val="008118F8"/>
    <w:rsid w:val="0081191E"/>
    <w:rsid w:val="00811A56"/>
    <w:rsid w:val="00811F00"/>
    <w:rsid w:val="00812818"/>
    <w:rsid w:val="00812837"/>
    <w:rsid w:val="008129D5"/>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27BB6"/>
    <w:rsid w:val="0083175B"/>
    <w:rsid w:val="00832372"/>
    <w:rsid w:val="0083344F"/>
    <w:rsid w:val="008343A2"/>
    <w:rsid w:val="00834AF3"/>
    <w:rsid w:val="00835FD0"/>
    <w:rsid w:val="0083688F"/>
    <w:rsid w:val="00836AEB"/>
    <w:rsid w:val="00837448"/>
    <w:rsid w:val="008401FE"/>
    <w:rsid w:val="0084057B"/>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29F"/>
    <w:rsid w:val="0085742E"/>
    <w:rsid w:val="00857A3E"/>
    <w:rsid w:val="00861482"/>
    <w:rsid w:val="00862330"/>
    <w:rsid w:val="008626DD"/>
    <w:rsid w:val="00862D81"/>
    <w:rsid w:val="00863A02"/>
    <w:rsid w:val="00864CBA"/>
    <w:rsid w:val="00864CEF"/>
    <w:rsid w:val="008651DE"/>
    <w:rsid w:val="00865D59"/>
    <w:rsid w:val="00865E4C"/>
    <w:rsid w:val="008662FE"/>
    <w:rsid w:val="00866CD8"/>
    <w:rsid w:val="00866DE8"/>
    <w:rsid w:val="00867CC4"/>
    <w:rsid w:val="008708C9"/>
    <w:rsid w:val="0087112F"/>
    <w:rsid w:val="00871E69"/>
    <w:rsid w:val="008720A2"/>
    <w:rsid w:val="008729FE"/>
    <w:rsid w:val="00873573"/>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5D94"/>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925"/>
    <w:rsid w:val="008E6DA8"/>
    <w:rsid w:val="008E7A92"/>
    <w:rsid w:val="008E7B6D"/>
    <w:rsid w:val="008E7C4D"/>
    <w:rsid w:val="008F061F"/>
    <w:rsid w:val="008F0A98"/>
    <w:rsid w:val="008F108F"/>
    <w:rsid w:val="008F1BD3"/>
    <w:rsid w:val="008F20E0"/>
    <w:rsid w:val="008F2473"/>
    <w:rsid w:val="008F3927"/>
    <w:rsid w:val="008F4EDB"/>
    <w:rsid w:val="008F52F8"/>
    <w:rsid w:val="008F5320"/>
    <w:rsid w:val="008F55B6"/>
    <w:rsid w:val="008F5FB4"/>
    <w:rsid w:val="008F657F"/>
    <w:rsid w:val="008F6945"/>
    <w:rsid w:val="008F6AC2"/>
    <w:rsid w:val="008F6D96"/>
    <w:rsid w:val="008F7866"/>
    <w:rsid w:val="008F7E78"/>
    <w:rsid w:val="00900140"/>
    <w:rsid w:val="009001B8"/>
    <w:rsid w:val="0090052F"/>
    <w:rsid w:val="00900706"/>
    <w:rsid w:val="00900CB7"/>
    <w:rsid w:val="009012A7"/>
    <w:rsid w:val="00901DF7"/>
    <w:rsid w:val="0090256A"/>
    <w:rsid w:val="00902C32"/>
    <w:rsid w:val="0090419B"/>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48F3"/>
    <w:rsid w:val="00915659"/>
    <w:rsid w:val="00915D84"/>
    <w:rsid w:val="009160AF"/>
    <w:rsid w:val="00916A54"/>
    <w:rsid w:val="009173D6"/>
    <w:rsid w:val="00917F48"/>
    <w:rsid w:val="009206E8"/>
    <w:rsid w:val="00920E89"/>
    <w:rsid w:val="0092170D"/>
    <w:rsid w:val="00922121"/>
    <w:rsid w:val="0092224B"/>
    <w:rsid w:val="00922812"/>
    <w:rsid w:val="0092283F"/>
    <w:rsid w:val="00922DC2"/>
    <w:rsid w:val="00922F3B"/>
    <w:rsid w:val="009237DE"/>
    <w:rsid w:val="00923F6B"/>
    <w:rsid w:val="009246E6"/>
    <w:rsid w:val="00924940"/>
    <w:rsid w:val="00924EF8"/>
    <w:rsid w:val="00924F30"/>
    <w:rsid w:val="00925331"/>
    <w:rsid w:val="009253F2"/>
    <w:rsid w:val="009255AB"/>
    <w:rsid w:val="009256A5"/>
    <w:rsid w:val="00925CA0"/>
    <w:rsid w:val="00926834"/>
    <w:rsid w:val="0092785B"/>
    <w:rsid w:val="00927AA1"/>
    <w:rsid w:val="00927C60"/>
    <w:rsid w:val="00927F61"/>
    <w:rsid w:val="009303D9"/>
    <w:rsid w:val="00931254"/>
    <w:rsid w:val="009316E5"/>
    <w:rsid w:val="0093186D"/>
    <w:rsid w:val="00932671"/>
    <w:rsid w:val="0093344E"/>
    <w:rsid w:val="00933548"/>
    <w:rsid w:val="00934A57"/>
    <w:rsid w:val="00934AFD"/>
    <w:rsid w:val="009351F3"/>
    <w:rsid w:val="009357F9"/>
    <w:rsid w:val="00936261"/>
    <w:rsid w:val="00937D38"/>
    <w:rsid w:val="00937D5D"/>
    <w:rsid w:val="00941093"/>
    <w:rsid w:val="00941887"/>
    <w:rsid w:val="00941BA4"/>
    <w:rsid w:val="009431E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38A9"/>
    <w:rsid w:val="0098430F"/>
    <w:rsid w:val="00984909"/>
    <w:rsid w:val="00984997"/>
    <w:rsid w:val="00984FF6"/>
    <w:rsid w:val="00985001"/>
    <w:rsid w:val="00986194"/>
    <w:rsid w:val="0098694E"/>
    <w:rsid w:val="009874B9"/>
    <w:rsid w:val="00987C44"/>
    <w:rsid w:val="00990712"/>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0AF"/>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6E1"/>
    <w:rsid w:val="009C787D"/>
    <w:rsid w:val="009D015E"/>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11A"/>
    <w:rsid w:val="009E458C"/>
    <w:rsid w:val="009E4890"/>
    <w:rsid w:val="009E4C3D"/>
    <w:rsid w:val="009E4CD3"/>
    <w:rsid w:val="009E62DA"/>
    <w:rsid w:val="009E6719"/>
    <w:rsid w:val="009E6922"/>
    <w:rsid w:val="009E6D42"/>
    <w:rsid w:val="009E6E4C"/>
    <w:rsid w:val="009E7860"/>
    <w:rsid w:val="009E7AA2"/>
    <w:rsid w:val="009F0043"/>
    <w:rsid w:val="009F041E"/>
    <w:rsid w:val="009F0969"/>
    <w:rsid w:val="009F0D1F"/>
    <w:rsid w:val="009F17F2"/>
    <w:rsid w:val="009F1B51"/>
    <w:rsid w:val="009F1F8D"/>
    <w:rsid w:val="009F1FCF"/>
    <w:rsid w:val="009F23DD"/>
    <w:rsid w:val="009F2AB0"/>
    <w:rsid w:val="009F2BC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1DFA"/>
    <w:rsid w:val="00A0217C"/>
    <w:rsid w:val="00A0274D"/>
    <w:rsid w:val="00A027C8"/>
    <w:rsid w:val="00A02A49"/>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1F8"/>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1C3"/>
    <w:rsid w:val="00A624B6"/>
    <w:rsid w:val="00A627AD"/>
    <w:rsid w:val="00A633D2"/>
    <w:rsid w:val="00A63B7B"/>
    <w:rsid w:val="00A63DAD"/>
    <w:rsid w:val="00A63ECB"/>
    <w:rsid w:val="00A63F1D"/>
    <w:rsid w:val="00A63F77"/>
    <w:rsid w:val="00A64083"/>
    <w:rsid w:val="00A646A2"/>
    <w:rsid w:val="00A64B3F"/>
    <w:rsid w:val="00A65AC8"/>
    <w:rsid w:val="00A65CA4"/>
    <w:rsid w:val="00A66007"/>
    <w:rsid w:val="00A66025"/>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863"/>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BB7"/>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C55"/>
    <w:rsid w:val="00AA0E67"/>
    <w:rsid w:val="00AA1428"/>
    <w:rsid w:val="00AA1AA3"/>
    <w:rsid w:val="00AA2472"/>
    <w:rsid w:val="00AA2B69"/>
    <w:rsid w:val="00AA2CC8"/>
    <w:rsid w:val="00AA304C"/>
    <w:rsid w:val="00AA35F2"/>
    <w:rsid w:val="00AA4098"/>
    <w:rsid w:val="00AA4C04"/>
    <w:rsid w:val="00AA524B"/>
    <w:rsid w:val="00AA5F6C"/>
    <w:rsid w:val="00AA6A7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AF7BD6"/>
    <w:rsid w:val="00B00466"/>
    <w:rsid w:val="00B006DB"/>
    <w:rsid w:val="00B00BED"/>
    <w:rsid w:val="00B00F5B"/>
    <w:rsid w:val="00B01658"/>
    <w:rsid w:val="00B03B02"/>
    <w:rsid w:val="00B044AE"/>
    <w:rsid w:val="00B045FF"/>
    <w:rsid w:val="00B04A95"/>
    <w:rsid w:val="00B0521D"/>
    <w:rsid w:val="00B053D9"/>
    <w:rsid w:val="00B05679"/>
    <w:rsid w:val="00B06602"/>
    <w:rsid w:val="00B06851"/>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509"/>
    <w:rsid w:val="00B14E30"/>
    <w:rsid w:val="00B1689E"/>
    <w:rsid w:val="00B1771F"/>
    <w:rsid w:val="00B1790A"/>
    <w:rsid w:val="00B17A99"/>
    <w:rsid w:val="00B17E72"/>
    <w:rsid w:val="00B17F7F"/>
    <w:rsid w:val="00B17F8A"/>
    <w:rsid w:val="00B201FF"/>
    <w:rsid w:val="00B202DE"/>
    <w:rsid w:val="00B207F9"/>
    <w:rsid w:val="00B2145F"/>
    <w:rsid w:val="00B21810"/>
    <w:rsid w:val="00B2187B"/>
    <w:rsid w:val="00B21C8A"/>
    <w:rsid w:val="00B2247A"/>
    <w:rsid w:val="00B22673"/>
    <w:rsid w:val="00B226E8"/>
    <w:rsid w:val="00B22ABB"/>
    <w:rsid w:val="00B236F2"/>
    <w:rsid w:val="00B23978"/>
    <w:rsid w:val="00B25302"/>
    <w:rsid w:val="00B25374"/>
    <w:rsid w:val="00B260FA"/>
    <w:rsid w:val="00B26A09"/>
    <w:rsid w:val="00B26C40"/>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095D"/>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04"/>
    <w:rsid w:val="00B579C0"/>
    <w:rsid w:val="00B57A27"/>
    <w:rsid w:val="00B60025"/>
    <w:rsid w:val="00B607A3"/>
    <w:rsid w:val="00B60FFA"/>
    <w:rsid w:val="00B612CE"/>
    <w:rsid w:val="00B61A8F"/>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19A"/>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6D7E"/>
    <w:rsid w:val="00BD7035"/>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4D6"/>
    <w:rsid w:val="00BF2507"/>
    <w:rsid w:val="00BF2CF9"/>
    <w:rsid w:val="00BF30EB"/>
    <w:rsid w:val="00BF338E"/>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49"/>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502C"/>
    <w:rsid w:val="00C262BC"/>
    <w:rsid w:val="00C268FE"/>
    <w:rsid w:val="00C2791F"/>
    <w:rsid w:val="00C27E5B"/>
    <w:rsid w:val="00C303A5"/>
    <w:rsid w:val="00C304DA"/>
    <w:rsid w:val="00C3081D"/>
    <w:rsid w:val="00C30FC7"/>
    <w:rsid w:val="00C315D8"/>
    <w:rsid w:val="00C31ED8"/>
    <w:rsid w:val="00C3218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3D71"/>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6C8"/>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3E0C"/>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C25"/>
    <w:rsid w:val="00C74F03"/>
    <w:rsid w:val="00C75B39"/>
    <w:rsid w:val="00C770AD"/>
    <w:rsid w:val="00C77404"/>
    <w:rsid w:val="00C8011D"/>
    <w:rsid w:val="00C801AB"/>
    <w:rsid w:val="00C80408"/>
    <w:rsid w:val="00C80F84"/>
    <w:rsid w:val="00C814F6"/>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473"/>
    <w:rsid w:val="00C949F7"/>
    <w:rsid w:val="00C95777"/>
    <w:rsid w:val="00C95E90"/>
    <w:rsid w:val="00C9683D"/>
    <w:rsid w:val="00C96868"/>
    <w:rsid w:val="00C9740D"/>
    <w:rsid w:val="00C97710"/>
    <w:rsid w:val="00C97A7E"/>
    <w:rsid w:val="00CA0576"/>
    <w:rsid w:val="00CA3104"/>
    <w:rsid w:val="00CA343C"/>
    <w:rsid w:val="00CA3486"/>
    <w:rsid w:val="00CA40BF"/>
    <w:rsid w:val="00CA4A65"/>
    <w:rsid w:val="00CA588E"/>
    <w:rsid w:val="00CA59E5"/>
    <w:rsid w:val="00CA741B"/>
    <w:rsid w:val="00CA798A"/>
    <w:rsid w:val="00CA7D31"/>
    <w:rsid w:val="00CA7DF1"/>
    <w:rsid w:val="00CB075F"/>
    <w:rsid w:val="00CB08B8"/>
    <w:rsid w:val="00CB135D"/>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1F4F"/>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1454"/>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079"/>
    <w:rsid w:val="00D212CC"/>
    <w:rsid w:val="00D215F0"/>
    <w:rsid w:val="00D220FC"/>
    <w:rsid w:val="00D224A1"/>
    <w:rsid w:val="00D22866"/>
    <w:rsid w:val="00D233E3"/>
    <w:rsid w:val="00D235DA"/>
    <w:rsid w:val="00D23689"/>
    <w:rsid w:val="00D238D1"/>
    <w:rsid w:val="00D23F24"/>
    <w:rsid w:val="00D24A3F"/>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0B7"/>
    <w:rsid w:val="00D41724"/>
    <w:rsid w:val="00D420A5"/>
    <w:rsid w:val="00D421BB"/>
    <w:rsid w:val="00D42871"/>
    <w:rsid w:val="00D42F3D"/>
    <w:rsid w:val="00D43076"/>
    <w:rsid w:val="00D43671"/>
    <w:rsid w:val="00D436AF"/>
    <w:rsid w:val="00D437B4"/>
    <w:rsid w:val="00D43DA1"/>
    <w:rsid w:val="00D44456"/>
    <w:rsid w:val="00D44B12"/>
    <w:rsid w:val="00D44F7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57DBF"/>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9E5"/>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009"/>
    <w:rsid w:val="00D77158"/>
    <w:rsid w:val="00D77D3B"/>
    <w:rsid w:val="00D800E6"/>
    <w:rsid w:val="00D80576"/>
    <w:rsid w:val="00D8057A"/>
    <w:rsid w:val="00D80C09"/>
    <w:rsid w:val="00D80CD5"/>
    <w:rsid w:val="00D811AB"/>
    <w:rsid w:val="00D818DD"/>
    <w:rsid w:val="00D82403"/>
    <w:rsid w:val="00D82476"/>
    <w:rsid w:val="00D8290B"/>
    <w:rsid w:val="00D82AAC"/>
    <w:rsid w:val="00D8340F"/>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817"/>
    <w:rsid w:val="00DA6A53"/>
    <w:rsid w:val="00DA6F92"/>
    <w:rsid w:val="00DA6FE1"/>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3581"/>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DB1"/>
    <w:rsid w:val="00E00DBD"/>
    <w:rsid w:val="00E00DD2"/>
    <w:rsid w:val="00E00E59"/>
    <w:rsid w:val="00E00F10"/>
    <w:rsid w:val="00E0175C"/>
    <w:rsid w:val="00E01A49"/>
    <w:rsid w:val="00E01C1A"/>
    <w:rsid w:val="00E0246C"/>
    <w:rsid w:val="00E02A35"/>
    <w:rsid w:val="00E03789"/>
    <w:rsid w:val="00E03915"/>
    <w:rsid w:val="00E03B31"/>
    <w:rsid w:val="00E04CA0"/>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420"/>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A4E"/>
    <w:rsid w:val="00E33C1D"/>
    <w:rsid w:val="00E3507B"/>
    <w:rsid w:val="00E3516D"/>
    <w:rsid w:val="00E35B95"/>
    <w:rsid w:val="00E364E5"/>
    <w:rsid w:val="00E36AC7"/>
    <w:rsid w:val="00E36B3C"/>
    <w:rsid w:val="00E370BD"/>
    <w:rsid w:val="00E37A94"/>
    <w:rsid w:val="00E4015F"/>
    <w:rsid w:val="00E40D1C"/>
    <w:rsid w:val="00E41158"/>
    <w:rsid w:val="00E421BA"/>
    <w:rsid w:val="00E42292"/>
    <w:rsid w:val="00E429EA"/>
    <w:rsid w:val="00E433E4"/>
    <w:rsid w:val="00E451A6"/>
    <w:rsid w:val="00E4565C"/>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8EF"/>
    <w:rsid w:val="00E87D4F"/>
    <w:rsid w:val="00E9047E"/>
    <w:rsid w:val="00E90523"/>
    <w:rsid w:val="00E90A2F"/>
    <w:rsid w:val="00E90F4F"/>
    <w:rsid w:val="00E9108A"/>
    <w:rsid w:val="00E91D86"/>
    <w:rsid w:val="00E9212B"/>
    <w:rsid w:val="00E92792"/>
    <w:rsid w:val="00E931FB"/>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35C1"/>
    <w:rsid w:val="00EB430C"/>
    <w:rsid w:val="00EB4A7A"/>
    <w:rsid w:val="00EB5124"/>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681"/>
    <w:rsid w:val="00ED2AFA"/>
    <w:rsid w:val="00ED2CAB"/>
    <w:rsid w:val="00ED2EFD"/>
    <w:rsid w:val="00ED2F18"/>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1EB0"/>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055"/>
    <w:rsid w:val="00F01500"/>
    <w:rsid w:val="00F019CF"/>
    <w:rsid w:val="00F01CB2"/>
    <w:rsid w:val="00F0214E"/>
    <w:rsid w:val="00F02492"/>
    <w:rsid w:val="00F02570"/>
    <w:rsid w:val="00F026F0"/>
    <w:rsid w:val="00F02EFA"/>
    <w:rsid w:val="00F03383"/>
    <w:rsid w:val="00F051C8"/>
    <w:rsid w:val="00F05AE7"/>
    <w:rsid w:val="00F05CC7"/>
    <w:rsid w:val="00F0639A"/>
    <w:rsid w:val="00F07429"/>
    <w:rsid w:val="00F07615"/>
    <w:rsid w:val="00F079B6"/>
    <w:rsid w:val="00F07A62"/>
    <w:rsid w:val="00F07CC3"/>
    <w:rsid w:val="00F10344"/>
    <w:rsid w:val="00F10424"/>
    <w:rsid w:val="00F10F7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8B1"/>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65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B4"/>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74F"/>
    <w:rsid w:val="00F6285C"/>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21A"/>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152"/>
    <w:rsid w:val="00F90E0B"/>
    <w:rsid w:val="00F91071"/>
    <w:rsid w:val="00F91607"/>
    <w:rsid w:val="00F91EC8"/>
    <w:rsid w:val="00F929C4"/>
    <w:rsid w:val="00F92AC9"/>
    <w:rsid w:val="00F93E8E"/>
    <w:rsid w:val="00F94234"/>
    <w:rsid w:val="00F94329"/>
    <w:rsid w:val="00F94689"/>
    <w:rsid w:val="00F9489D"/>
    <w:rsid w:val="00F94CCA"/>
    <w:rsid w:val="00F950FB"/>
    <w:rsid w:val="00F95BA8"/>
    <w:rsid w:val="00F9660B"/>
    <w:rsid w:val="00F96C11"/>
    <w:rsid w:val="00F97070"/>
    <w:rsid w:val="00F9782A"/>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64E2"/>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558A"/>
    <w:rsid w:val="00FB6324"/>
    <w:rsid w:val="00FB6826"/>
    <w:rsid w:val="00FB6BF3"/>
    <w:rsid w:val="00FB7B33"/>
    <w:rsid w:val="00FC0026"/>
    <w:rsid w:val="00FC00A6"/>
    <w:rsid w:val="00FC02E0"/>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80D"/>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340396699">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10336</TotalTime>
  <Pages>3</Pages>
  <Words>1021</Words>
  <Characters>5823</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6831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291</cp:revision>
  <cp:lastPrinted>2012-10-30T00:20:00Z</cp:lastPrinted>
  <dcterms:created xsi:type="dcterms:W3CDTF">2020-08-03T07:44:00Z</dcterms:created>
  <dcterms:modified xsi:type="dcterms:W3CDTF">2025-08-14T10:17:00Z</dcterms:modified>
</cp:coreProperties>
</file>